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65" w:rsidRPr="00B12217" w:rsidRDefault="00646165" w:rsidP="00444DBA">
      <w:pPr>
        <w:autoSpaceDE w:val="0"/>
        <w:autoSpaceDN w:val="0"/>
        <w:adjustRightInd w:val="0"/>
        <w:jc w:val="left"/>
        <w:rPr>
          <w:rFonts w:cstheme="minorHAnsi"/>
          <w:b/>
          <w:color w:val="000000"/>
        </w:rPr>
      </w:pPr>
    </w:p>
    <w:p w:rsidR="00646165" w:rsidRPr="00B12217" w:rsidRDefault="00646165" w:rsidP="00B12217">
      <w:pPr>
        <w:pStyle w:val="pamatteksts"/>
        <w:spacing w:after="0" w:line="360" w:lineRule="auto"/>
        <w:jc w:val="center"/>
        <w:rPr>
          <w:rFonts w:asciiTheme="minorHAnsi" w:hAnsiTheme="minorHAnsi" w:cstheme="minorHAnsi"/>
          <w:sz w:val="32"/>
          <w:szCs w:val="22"/>
        </w:rPr>
      </w:pPr>
      <w:bookmarkStart w:id="0" w:name="OLE_LINK1"/>
      <w:r w:rsidRPr="00B12217">
        <w:rPr>
          <w:rFonts w:asciiTheme="minorHAnsi" w:hAnsiTheme="minorHAnsi" w:cstheme="minorHAnsi"/>
          <w:b/>
          <w:sz w:val="32"/>
          <w:szCs w:val="22"/>
        </w:rPr>
        <w:t>Cienījamie sistēmas Tildes Jumis lietotāji!</w:t>
      </w:r>
    </w:p>
    <w:bookmarkEnd w:id="0"/>
    <w:p w:rsidR="00646165" w:rsidRPr="00B12217" w:rsidRDefault="00646165" w:rsidP="00B12217">
      <w:pPr>
        <w:pStyle w:val="pamatteksts"/>
        <w:spacing w:after="0" w:line="360" w:lineRule="auto"/>
        <w:rPr>
          <w:rFonts w:asciiTheme="minorHAnsi" w:hAnsiTheme="minorHAnsi" w:cstheme="minorHAnsi"/>
          <w:sz w:val="28"/>
          <w:szCs w:val="22"/>
          <w:highlight w:val="yellow"/>
        </w:rPr>
      </w:pPr>
    </w:p>
    <w:p w:rsidR="006C72C0" w:rsidRPr="00087DD3" w:rsidRDefault="006C72C0" w:rsidP="006C72C0">
      <w:pPr>
        <w:pStyle w:val="pamatteksts"/>
        <w:spacing w:after="0" w:line="360" w:lineRule="auto"/>
        <w:rPr>
          <w:rFonts w:asciiTheme="minorHAnsi" w:hAnsiTheme="minorHAnsi"/>
          <w:sz w:val="22"/>
          <w:szCs w:val="22"/>
        </w:rPr>
      </w:pPr>
      <w:r w:rsidRPr="00087DD3">
        <w:rPr>
          <w:rFonts w:asciiTheme="minorHAnsi" w:hAnsiTheme="minorHAnsi"/>
          <w:sz w:val="22"/>
          <w:szCs w:val="22"/>
        </w:rPr>
        <w:t xml:space="preserve">Esam sagatavojuši un nosūtām sistēmas </w:t>
      </w:r>
      <w:r w:rsidRPr="00087DD3">
        <w:rPr>
          <w:rFonts w:asciiTheme="minorHAnsi" w:hAnsiTheme="minorHAnsi"/>
          <w:b/>
          <w:sz w:val="22"/>
          <w:szCs w:val="22"/>
        </w:rPr>
        <w:t xml:space="preserve">Tildes Jumis </w:t>
      </w:r>
      <w:r w:rsidR="005E7844">
        <w:rPr>
          <w:rFonts w:asciiTheme="minorHAnsi" w:hAnsiTheme="minorHAnsi"/>
          <w:b/>
          <w:sz w:val="22"/>
          <w:szCs w:val="22"/>
        </w:rPr>
        <w:t>2017</w:t>
      </w:r>
      <w:r w:rsidR="00A72C7D">
        <w:rPr>
          <w:rFonts w:asciiTheme="minorHAnsi" w:hAnsiTheme="minorHAnsi"/>
          <w:b/>
          <w:sz w:val="22"/>
          <w:szCs w:val="22"/>
        </w:rPr>
        <w:t xml:space="preserve"> </w:t>
      </w:r>
      <w:r w:rsidR="005E7844">
        <w:rPr>
          <w:rFonts w:asciiTheme="minorHAnsi" w:hAnsiTheme="minorHAnsi"/>
          <w:b/>
          <w:sz w:val="22"/>
          <w:szCs w:val="22"/>
        </w:rPr>
        <w:t>Janvāra</w:t>
      </w:r>
      <w:r w:rsidRPr="00087DD3">
        <w:rPr>
          <w:rFonts w:asciiTheme="minorHAnsi" w:hAnsiTheme="minorHAnsi"/>
          <w:b/>
          <w:sz w:val="22"/>
          <w:szCs w:val="22"/>
        </w:rPr>
        <w:t xml:space="preserve"> izlaidumu</w:t>
      </w:r>
      <w:r w:rsidRPr="00087DD3">
        <w:rPr>
          <w:rFonts w:asciiTheme="minorHAnsi" w:hAnsiTheme="minorHAnsi"/>
          <w:sz w:val="22"/>
          <w:szCs w:val="22"/>
        </w:rPr>
        <w:t>, kurā ietvertie uzlabojumi atvieglos un darīs patīkamāku darbu ar šo sistēmu.</w:t>
      </w:r>
    </w:p>
    <w:p w:rsidR="006C72C0" w:rsidRDefault="006C72C0" w:rsidP="006C72C0">
      <w:pPr>
        <w:pStyle w:val="Vienkrsteksts"/>
        <w:spacing w:line="360" w:lineRule="auto"/>
        <w:ind w:left="720" w:firstLine="0"/>
        <w:rPr>
          <w:rFonts w:asciiTheme="minorHAnsi" w:hAnsiTheme="minorHAnsi" w:cs="Times New Roman"/>
          <w:sz w:val="22"/>
          <w:szCs w:val="22"/>
        </w:rPr>
      </w:pPr>
    </w:p>
    <w:p w:rsidR="006C72C0" w:rsidRDefault="006C72C0" w:rsidP="006C72C0">
      <w:pPr>
        <w:pStyle w:val="Vienkrsteksts"/>
        <w:spacing w:line="360" w:lineRule="auto"/>
        <w:ind w:left="720" w:firstLine="0"/>
        <w:rPr>
          <w:rFonts w:asciiTheme="minorHAnsi" w:hAnsiTheme="minorHAnsi" w:cs="Times New Roman"/>
          <w:b/>
          <w:sz w:val="22"/>
          <w:szCs w:val="22"/>
        </w:rPr>
      </w:pPr>
      <w:r w:rsidRPr="006C72C0">
        <w:rPr>
          <w:rFonts w:asciiTheme="minorHAnsi" w:hAnsiTheme="minorHAnsi" w:cs="Times New Roman"/>
          <w:b/>
          <w:sz w:val="22"/>
          <w:szCs w:val="22"/>
        </w:rPr>
        <w:t xml:space="preserve">Būtiskākie jaunumi sistēmas Tildes Jumis </w:t>
      </w:r>
      <w:r w:rsidR="005E7844">
        <w:rPr>
          <w:rFonts w:asciiTheme="minorHAnsi" w:hAnsiTheme="minorHAnsi" w:cs="Times New Roman"/>
          <w:b/>
          <w:sz w:val="22"/>
          <w:szCs w:val="22"/>
        </w:rPr>
        <w:t>2017</w:t>
      </w:r>
      <w:r w:rsidR="00A72C7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E7844">
        <w:rPr>
          <w:rFonts w:asciiTheme="minorHAnsi" w:hAnsiTheme="minorHAnsi" w:cs="Times New Roman"/>
          <w:b/>
          <w:sz w:val="22"/>
          <w:szCs w:val="22"/>
        </w:rPr>
        <w:t>Janvāra</w:t>
      </w:r>
      <w:r w:rsidRPr="006C72C0">
        <w:rPr>
          <w:rFonts w:asciiTheme="minorHAnsi" w:hAnsiTheme="minorHAnsi"/>
          <w:b/>
          <w:sz w:val="22"/>
          <w:szCs w:val="22"/>
        </w:rPr>
        <w:t xml:space="preserve"> </w:t>
      </w:r>
      <w:r w:rsidRPr="006C72C0">
        <w:rPr>
          <w:rFonts w:asciiTheme="minorHAnsi" w:hAnsiTheme="minorHAnsi" w:cs="Times New Roman"/>
          <w:b/>
          <w:sz w:val="22"/>
          <w:szCs w:val="22"/>
        </w:rPr>
        <w:t>izlaidumā:</w:t>
      </w:r>
    </w:p>
    <w:p w:rsidR="00A72C7D" w:rsidRDefault="006C082E" w:rsidP="00672A8E">
      <w:pPr>
        <w:pStyle w:val="Sarakstarindkopa"/>
        <w:numPr>
          <w:ilvl w:val="0"/>
          <w:numId w:val="28"/>
        </w:numPr>
      </w:pPr>
      <w:r>
        <w:t>Izmaiņas PVN deklarācijā</w:t>
      </w:r>
      <w:r w:rsidR="00E17F1A">
        <w:t>:</w:t>
      </w:r>
    </w:p>
    <w:p w:rsidR="00E17F1A" w:rsidRDefault="00E17F1A" w:rsidP="00E17F1A">
      <w:pPr>
        <w:pStyle w:val="Sarakstarindkopa"/>
        <w:numPr>
          <w:ilvl w:val="0"/>
          <w:numId w:val="48"/>
        </w:numPr>
      </w:pPr>
      <w:r>
        <w:t>Ieviesti jauni kodi</w:t>
      </w:r>
    </w:p>
    <w:p w:rsidR="00E17F1A" w:rsidRDefault="00E17F1A" w:rsidP="00E17F1A">
      <w:pPr>
        <w:pStyle w:val="Sarakstarindkopa"/>
        <w:numPr>
          <w:ilvl w:val="0"/>
          <w:numId w:val="48"/>
        </w:numPr>
      </w:pPr>
      <w:r>
        <w:t>Izveidots eksports uz EDS atbilstoši jaunajiem kontiem</w:t>
      </w:r>
    </w:p>
    <w:p w:rsidR="00E17F1A" w:rsidRDefault="00E17F1A" w:rsidP="00E17F1A">
      <w:pPr>
        <w:pStyle w:val="Sarakstarindkopa"/>
        <w:numPr>
          <w:ilvl w:val="0"/>
          <w:numId w:val="48"/>
        </w:numPr>
      </w:pPr>
      <w:r>
        <w:t>Iespēja eksportēt PVN uz EDS bez dokumentu grupēšanas</w:t>
      </w:r>
    </w:p>
    <w:p w:rsidR="00E60BA0" w:rsidRDefault="005E7844" w:rsidP="00E60BA0">
      <w:pPr>
        <w:pStyle w:val="Sarakstarindkopa"/>
        <w:numPr>
          <w:ilvl w:val="0"/>
          <w:numId w:val="28"/>
        </w:numPr>
      </w:pPr>
      <w:r>
        <w:t>Uzlabojumi ISO standarta bankas konta izraksta importā</w:t>
      </w:r>
      <w:r w:rsidR="005579B0">
        <w:t xml:space="preserve"> un maksājumu uzdevumu noformēšanā</w:t>
      </w:r>
      <w:r w:rsidR="00D25B3A">
        <w:t>;</w:t>
      </w:r>
    </w:p>
    <w:p w:rsidR="00E60BA0" w:rsidRDefault="005E7844" w:rsidP="00E17F1A">
      <w:pPr>
        <w:pStyle w:val="Sarakstarindkopa"/>
        <w:numPr>
          <w:ilvl w:val="0"/>
          <w:numId w:val="28"/>
        </w:numPr>
      </w:pPr>
      <w:r>
        <w:rPr>
          <w:color w:val="000000"/>
        </w:rPr>
        <w:t>Jaunas bilances un peļņas vai aprēķina veidnes</w:t>
      </w:r>
      <w:r w:rsidR="00E17F1A">
        <w:rPr>
          <w:color w:val="000000"/>
        </w:rPr>
        <w:t xml:space="preserve"> u</w:t>
      </w:r>
      <w:r w:rsidR="00E17F1A" w:rsidRPr="00E17F1A">
        <w:rPr>
          <w:color w:val="000000"/>
        </w:rPr>
        <w:t>n to eksports uz EDS</w:t>
      </w:r>
      <w:r w:rsidR="00E60BA0" w:rsidRPr="00E60BA0">
        <w:t xml:space="preserve"> </w:t>
      </w:r>
    </w:p>
    <w:p w:rsidR="00E60BA0" w:rsidRPr="00E60BA0" w:rsidRDefault="00E60BA0" w:rsidP="00E60BA0">
      <w:pPr>
        <w:pStyle w:val="Vienkrsteksts"/>
        <w:spacing w:line="360" w:lineRule="auto"/>
        <w:ind w:left="720" w:firstLine="0"/>
        <w:rPr>
          <w:rFonts w:asciiTheme="minorHAnsi" w:hAnsiTheme="minorHAnsi" w:cs="Times New Roman"/>
          <w:b/>
          <w:sz w:val="22"/>
          <w:szCs w:val="22"/>
        </w:rPr>
      </w:pPr>
      <w:r w:rsidRPr="00E60BA0">
        <w:rPr>
          <w:rFonts w:asciiTheme="minorHAnsi" w:hAnsiTheme="minorHAnsi" w:cs="Times New Roman"/>
          <w:b/>
          <w:sz w:val="22"/>
          <w:szCs w:val="22"/>
        </w:rPr>
        <w:t>Pārējās izmaiņas:</w:t>
      </w:r>
    </w:p>
    <w:p w:rsidR="00E60BA0" w:rsidRPr="006127DD" w:rsidRDefault="006C082E" w:rsidP="00E60BA0">
      <w:pPr>
        <w:pStyle w:val="Sarakstarindkopa"/>
        <w:numPr>
          <w:ilvl w:val="0"/>
          <w:numId w:val="44"/>
        </w:numPr>
      </w:pPr>
      <w:r>
        <w:t>Dažādas citas izmaiņas datu ērtākai apstrādei.</w:t>
      </w:r>
    </w:p>
    <w:p w:rsidR="00E36F4A" w:rsidRDefault="006C082E" w:rsidP="00341AE5">
      <w:pPr>
        <w:pStyle w:val="Virsraksts1"/>
      </w:pPr>
      <w:bookmarkStart w:id="1" w:name="_Pavadzīmju_nosūtīšana_e-pastā"/>
      <w:bookmarkEnd w:id="1"/>
      <w:r>
        <w:t>Izmaiņas PVN deklarācijā</w:t>
      </w:r>
    </w:p>
    <w:p w:rsidR="006C082E" w:rsidRDefault="006C082E" w:rsidP="006C082E">
      <w:pPr>
        <w:pStyle w:val="Virsraksts2"/>
      </w:pPr>
      <w:r>
        <w:t>Kod</w:t>
      </w:r>
      <w:r w:rsidR="005E7844">
        <w:t>i</w:t>
      </w:r>
      <w:r>
        <w:t xml:space="preserve"> R</w:t>
      </w:r>
      <w:r w:rsidR="005E7844">
        <w:t>5; R6 un C</w:t>
      </w:r>
    </w:p>
    <w:p w:rsidR="009552D4" w:rsidRPr="009552D4" w:rsidRDefault="009552D4" w:rsidP="006C082E">
      <w:r>
        <w:t xml:space="preserve">Ar </w:t>
      </w:r>
      <w:r w:rsidRPr="009552D4">
        <w:rPr>
          <w:b/>
        </w:rPr>
        <w:t>01.01.2017</w:t>
      </w:r>
      <w:r>
        <w:t>. PVN deklarācijas pielikumā PVN1 ieviesti jauni kodi darījumu uzrādīšanai — R5 – </w:t>
      </w:r>
      <w:r w:rsidRPr="009552D4">
        <w:t>nodokļa summas par saņemtajām precēm, kas aprēķinātas saskaņā ar likuma </w:t>
      </w:r>
      <w:hyperlink r:id="rId8" w:anchor="p143.2" w:tgtFrame="_blank" w:history="1">
        <w:r w:rsidRPr="009552D4">
          <w:t>143.2 pantu</w:t>
        </w:r>
      </w:hyperlink>
      <w:r>
        <w:t xml:space="preserve"> un R6 – </w:t>
      </w:r>
      <w:r w:rsidRPr="009552D4">
        <w:t>nodokļa summas par saņemtajām precēm, kas aprēķinātas saskaņā ar likuma </w:t>
      </w:r>
      <w:hyperlink r:id="rId9" w:anchor="p143.3" w:tgtFrame="_blank" w:history="1">
        <w:r w:rsidRPr="009552D4">
          <w:t>143.3 pantu</w:t>
        </w:r>
      </w:hyperlink>
      <w:r>
        <w:t>.</w:t>
      </w:r>
    </w:p>
    <w:p w:rsidR="006C082E" w:rsidRDefault="006C082E" w:rsidP="006C082E">
      <w:r>
        <w:t xml:space="preserve">Ar </w:t>
      </w:r>
      <w:r w:rsidRPr="009552D4">
        <w:rPr>
          <w:b/>
        </w:rPr>
        <w:t>01.04.</w:t>
      </w:r>
      <w:r w:rsidR="005E7844" w:rsidRPr="009552D4">
        <w:rPr>
          <w:b/>
        </w:rPr>
        <w:t>2017</w:t>
      </w:r>
      <w:r>
        <w:t>. PVN deklarācijas pielikumā PVN1 ieviests jauns kods darījumu uzrādīšanai — </w:t>
      </w:r>
      <w:r w:rsidR="009552D4">
        <w:t>C</w:t>
      </w:r>
      <w:r>
        <w:t xml:space="preserve"> – </w:t>
      </w:r>
      <w:r w:rsidR="009552D4" w:rsidRPr="009552D4">
        <w:t>nodokļa summas par vieglo transportlīdzekļu (saskaņā ar Ministru kabineta 2009. gada 22. decembra noteikumos Nr. 1494 "</w:t>
      </w:r>
      <w:hyperlink r:id="rId10" w:tgtFrame="_blank" w:history="1">
        <w:r w:rsidR="009552D4" w:rsidRPr="009552D4">
          <w:t>Mopēdu, mehānisko transportlīdzekļu, to piekabju un sastāvdaļu atbilstības novērtēšanas noteikumi</w:t>
        </w:r>
      </w:hyperlink>
      <w:r w:rsidR="009552D4" w:rsidRPr="009552D4">
        <w:t>" noteikto M1 un N1 transportlīdzekļu kategoriju) iegādi un importu</w:t>
      </w:r>
      <w:r w:rsidRPr="009552D4">
        <w:t>.</w:t>
      </w:r>
    </w:p>
    <w:p w:rsidR="006C082E" w:rsidRDefault="006C082E" w:rsidP="006C082E">
      <w:r>
        <w:t xml:space="preserve">Lai šādus darījumus iekļautu deklarācijas pielikumos un eksporta failā uz EDS tiktu uzrādīts </w:t>
      </w:r>
      <w:r w:rsidR="009552D4">
        <w:t>atbilstošais kods</w:t>
      </w:r>
      <w:r>
        <w:t>, jāizveido atsevišķs kreditoru (debitoru) vai izmaksu (ieņēmumu) konts</w:t>
      </w:r>
      <w:r w:rsidR="00031536">
        <w:t>, kā arī atsevišķi PVN konti</w:t>
      </w:r>
      <w:r>
        <w:t xml:space="preserve"> un </w:t>
      </w:r>
      <w:r w:rsidR="00031536">
        <w:t xml:space="preserve">tie </w:t>
      </w:r>
      <w:r>
        <w:t>jāpievieno specifikācijā atbilstošajās sadaļās pie kod</w:t>
      </w:r>
      <w:r w:rsidR="00D11522">
        <w:t>iem</w:t>
      </w:r>
      <w:r>
        <w:t xml:space="preserve"> R</w:t>
      </w:r>
      <w:r w:rsidR="00D11522">
        <w:t>%, R6, C</w:t>
      </w:r>
    </w:p>
    <w:p w:rsidR="006C082E" w:rsidRDefault="00D11522" w:rsidP="006C082E">
      <w:pPr>
        <w:ind w:firstLine="0"/>
      </w:pPr>
      <w:r>
        <w:rPr>
          <w:noProof/>
          <w:lang w:eastAsia="lv-LV"/>
        </w:rPr>
        <w:lastRenderedPageBreak/>
        <w:drawing>
          <wp:inline distT="0" distB="0" distL="0" distR="0" wp14:anchorId="3E7A31DC" wp14:editId="7D6C8CE0">
            <wp:extent cx="2216264" cy="2984653"/>
            <wp:effectExtent l="0" t="0" r="0" b="635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6264" cy="298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82E">
        <w:t xml:space="preserve"> </w:t>
      </w:r>
    </w:p>
    <w:p w:rsidR="006C082E" w:rsidRDefault="006C082E" w:rsidP="006C082E">
      <w:r>
        <w:t xml:space="preserve">Sīkāks apraksts pieejams elektroniskajā rokasgrāmatā </w:t>
      </w:r>
      <w:r w:rsidRPr="006C082E">
        <w:rPr>
          <w:i/>
        </w:rPr>
        <w:t>Palīgs</w:t>
      </w:r>
      <w:r>
        <w:t xml:space="preserve"> sistēmas lentes joslā vai mūsu mājaslapā </w:t>
      </w:r>
      <w:hyperlink r:id="rId12" w:history="1">
        <w:r>
          <w:rPr>
            <w:rStyle w:val="Hipersaite"/>
          </w:rPr>
          <w:t>Nodokļu atskaites –&gt; PVN –&gt; PVN pārskati</w:t>
        </w:r>
      </w:hyperlink>
      <w:r>
        <w:t xml:space="preserve"> </w:t>
      </w:r>
    </w:p>
    <w:tbl>
      <w:tblPr>
        <w:tblStyle w:val="Reatabula"/>
        <w:tblW w:w="0" w:type="auto"/>
        <w:jc w:val="center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9194"/>
      </w:tblGrid>
      <w:tr w:rsidR="008D2D8A" w:rsidTr="00D11B71">
        <w:trPr>
          <w:trHeight w:val="591"/>
          <w:jc w:val="center"/>
        </w:trPr>
        <w:tc>
          <w:tcPr>
            <w:tcW w:w="943" w:type="dxa"/>
            <w:tcBorders>
              <w:bottom w:val="dotted" w:sz="4" w:space="0" w:color="5EA226" w:themeColor="accent1" w:themeShade="BF"/>
            </w:tcBorders>
          </w:tcPr>
          <w:p w:rsidR="008D2D8A" w:rsidRPr="00FB4BF1" w:rsidRDefault="008D2D8A" w:rsidP="00071703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r w:rsidRPr="00E10522">
              <w:rPr>
                <w:rFonts w:ascii="Times New Roman" w:hAnsi="Times New Roman"/>
                <w:b/>
                <w:color w:val="007300"/>
                <w:sz w:val="52"/>
                <w:szCs w:val="52"/>
              </w:rPr>
              <w:sym w:font="Wingdings" w:char="F047"/>
            </w:r>
          </w:p>
        </w:tc>
        <w:tc>
          <w:tcPr>
            <w:tcW w:w="9194" w:type="dxa"/>
            <w:tcBorders>
              <w:bottom w:val="dotted" w:sz="4" w:space="0" w:color="5EA226" w:themeColor="accent1" w:themeShade="BF"/>
            </w:tcBorders>
            <w:vAlign w:val="center"/>
          </w:tcPr>
          <w:p w:rsidR="008D2D8A" w:rsidRPr="00242663" w:rsidRDefault="00D11522" w:rsidP="00071703">
            <w:pPr>
              <w:spacing w:line="240" w:lineRule="auto"/>
              <w:rPr>
                <w:rFonts w:asciiTheme="minorHAnsi" w:hAnsiTheme="minorHAnsi"/>
                <w:b/>
                <w:color w:val="009900"/>
                <w:sz w:val="22"/>
              </w:rPr>
            </w:pPr>
            <w:r>
              <w:rPr>
                <w:rFonts w:asciiTheme="minorHAnsi" w:hAnsiTheme="minorHAnsi"/>
                <w:b/>
                <w:color w:val="009900"/>
                <w:sz w:val="22"/>
              </w:rPr>
              <w:t>Ņemiet vērā, ka koda “C” uzrādīšana PVN1 spēkā ar 01.04.2017.</w:t>
            </w:r>
          </w:p>
        </w:tc>
      </w:tr>
    </w:tbl>
    <w:p w:rsidR="00B75B7B" w:rsidRDefault="00B75B7B" w:rsidP="00B75B7B">
      <w:pPr>
        <w:pStyle w:val="Virsraksts3"/>
      </w:pPr>
      <w:r>
        <w:t>Eksports uz EDS bez dokumentu grupēšanas</w:t>
      </w:r>
    </w:p>
    <w:p w:rsidR="00B75B7B" w:rsidRDefault="00B75B7B" w:rsidP="00B75B7B">
      <w:r>
        <w:t>Pēc jūsu lūguma izveidota iespēja eksportēt uz EDS PVN1 katru dokumentu atsevišķi</w:t>
      </w:r>
    </w:p>
    <w:p w:rsidR="00B75B7B" w:rsidRDefault="00B75B7B" w:rsidP="00B75B7B">
      <w:pPr>
        <w:ind w:firstLine="0"/>
      </w:pPr>
      <w:r>
        <w:rPr>
          <w:noProof/>
          <w:lang w:eastAsia="lv-LV"/>
        </w:rPr>
        <w:drawing>
          <wp:inline distT="0" distB="0" distL="0" distR="0" wp14:anchorId="25370F86" wp14:editId="67D30755">
            <wp:extent cx="3264068" cy="1416123"/>
            <wp:effectExtent l="0" t="0" r="0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4068" cy="14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703" w:rsidRDefault="00071703" w:rsidP="00071703">
      <w:r>
        <w:t>Izvēloties šādu eksporta veidu – PVN1 ietverto dokumentu pārbaude netiek veikta.</w:t>
      </w:r>
    </w:p>
    <w:p w:rsidR="008D2D8A" w:rsidRDefault="008D2D8A" w:rsidP="001C46C5">
      <w:pPr>
        <w:pStyle w:val="Virsraksts1"/>
      </w:pPr>
      <w:r>
        <w:t xml:space="preserve">ISO </w:t>
      </w:r>
      <w:r w:rsidR="00D11522">
        <w:t>maksājumi</w:t>
      </w:r>
    </w:p>
    <w:p w:rsidR="00E36F4A" w:rsidRDefault="00E36F4A" w:rsidP="00E36F4A">
      <w:r>
        <w:t xml:space="preserve">Ņemot vērā, ka, līdz ar pievienošanos </w:t>
      </w:r>
      <w:r>
        <w:rPr>
          <w:shd w:val="clear" w:color="auto" w:fill="FFFFFF"/>
        </w:rPr>
        <w:t xml:space="preserve">vienotai eirovalūtas maksājumu zonai (SEPA - Single Euro Payment Area), kurā ir likvidētas atšķirības starp iekšzemes un pārrobežu maksājumiem eirovalūtā, </w:t>
      </w:r>
      <w:r w:rsidRPr="00FD1F50">
        <w:rPr>
          <w:b/>
        </w:rPr>
        <w:t xml:space="preserve">no </w:t>
      </w:r>
      <w:r w:rsidR="005579B0">
        <w:rPr>
          <w:b/>
        </w:rPr>
        <w:t>2017</w:t>
      </w:r>
      <w:r w:rsidR="005579B0" w:rsidRPr="00FD1F50">
        <w:rPr>
          <w:b/>
        </w:rPr>
        <w:t>. gada</w:t>
      </w:r>
      <w:r w:rsidRPr="00FD1F50">
        <w:rPr>
          <w:b/>
        </w:rPr>
        <w:t xml:space="preserve"> </w:t>
      </w:r>
      <w:r w:rsidR="005579B0" w:rsidRPr="00FD1F50">
        <w:rPr>
          <w:b/>
        </w:rPr>
        <w:t>1.</w:t>
      </w:r>
      <w:r w:rsidR="005579B0">
        <w:rPr>
          <w:b/>
        </w:rPr>
        <w:t xml:space="preserve"> februāra</w:t>
      </w:r>
      <w:r>
        <w:t xml:space="preserve"> Latvijā jāievēro Regulā (ES) Nr. 260/2012 ietvertās prasības par ISO20022 standarta obligātu piemērošanu.</w:t>
      </w:r>
    </w:p>
    <w:p w:rsidR="005579B0" w:rsidRDefault="00E36F4A" w:rsidP="005579B0">
      <w:r>
        <w:t xml:space="preserve">Tildes Jumī </w:t>
      </w:r>
      <w:r w:rsidR="005579B0">
        <w:t>jau 2016. gadā tika</w:t>
      </w:r>
      <w:r>
        <w:t xml:space="preserve"> </w:t>
      </w:r>
      <w:r w:rsidR="0010020B">
        <w:t>izveidota iespēja</w:t>
      </w:r>
      <w:r w:rsidR="008D2D8A">
        <w:t xml:space="preserve"> </w:t>
      </w:r>
      <w:r w:rsidR="0010020B">
        <w:t>sagatavot maksāju</w:t>
      </w:r>
      <w:r w:rsidR="005579B0">
        <w:t>mu uzdevumus pēc ISO standarta.</w:t>
      </w:r>
    </w:p>
    <w:p w:rsidR="00793564" w:rsidRDefault="00793564" w:rsidP="005579B0">
      <w:r w:rsidRPr="00793564">
        <w:rPr>
          <w:b/>
        </w:rPr>
        <w:t>Atgādinām</w:t>
      </w:r>
      <w:r>
        <w:t xml:space="preserve">, ka daudzas bankas FiDaViSta formātā maksājumus uz ES valstīm vairs nepieņem! </w:t>
      </w:r>
    </w:p>
    <w:p w:rsidR="005579B0" w:rsidRDefault="005579B0" w:rsidP="005579B0">
      <w:r>
        <w:lastRenderedPageBreak/>
        <w:t xml:space="preserve">Jāņem vērā, ka SEB bankas internetbankā nebūs iespējams </w:t>
      </w:r>
      <w:r w:rsidR="0018170A">
        <w:t>ieimportēt maksājuma uzdevumus, kas neatbildīs ISO standarta nosacījumiem, piemēram, ja maksājumus ir virs 10 000 eiro, kā obligāts nosacījums – norādīt ārējo maksājumu kodu un valsts kodu.</w:t>
      </w:r>
    </w:p>
    <w:p w:rsidR="0018170A" w:rsidRDefault="0018170A" w:rsidP="0018170A">
      <w:pPr>
        <w:ind w:firstLine="0"/>
      </w:pPr>
      <w:r>
        <w:rPr>
          <w:noProof/>
          <w:lang w:eastAsia="lv-LV"/>
        </w:rPr>
        <w:drawing>
          <wp:inline distT="0" distB="0" distL="0" distR="0" wp14:anchorId="0B7741DB" wp14:editId="5F3A1F6D">
            <wp:extent cx="3238666" cy="488975"/>
            <wp:effectExtent l="0" t="0" r="0" b="635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666" cy="4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FD1" w:rsidRDefault="002F1FD1" w:rsidP="005579B0">
      <w:r>
        <w:t>Konta izraksta apstrāde ir aprakstīta elektroniskajā rokasgrāmatā Palīgs:</w:t>
      </w:r>
    </w:p>
    <w:p w:rsidR="002F1FD1" w:rsidRDefault="00C35546" w:rsidP="002F1FD1">
      <w:pPr>
        <w:pStyle w:val="Sarakstarindkopa"/>
        <w:numPr>
          <w:ilvl w:val="0"/>
          <w:numId w:val="44"/>
        </w:numPr>
      </w:pPr>
      <w:hyperlink r:id="rId15" w:history="1">
        <w:r w:rsidR="002F1FD1">
          <w:rPr>
            <w:rStyle w:val="Hipersaite"/>
          </w:rPr>
          <w:t>Konta izraksta importēšana un apstrāde</w:t>
        </w:r>
      </w:hyperlink>
    </w:p>
    <w:p w:rsidR="002F1FD1" w:rsidRPr="00E36F4A" w:rsidRDefault="00C35546" w:rsidP="00111B82">
      <w:pPr>
        <w:pStyle w:val="Sarakstarindkopa"/>
        <w:numPr>
          <w:ilvl w:val="0"/>
          <w:numId w:val="44"/>
        </w:numPr>
      </w:pPr>
      <w:hyperlink r:id="rId16" w:history="1">
        <w:r w:rsidR="002F1FD1">
          <w:rPr>
            <w:rStyle w:val="Hipersaite"/>
          </w:rPr>
          <w:t>Neapstrādāto bankas dokumentu apstrāde</w:t>
        </w:r>
      </w:hyperlink>
      <w:r w:rsidR="00C02E44">
        <w:t xml:space="preserve"> </w:t>
      </w:r>
    </w:p>
    <w:p w:rsidR="00DB758B" w:rsidRDefault="002D4DE3" w:rsidP="00DB758B">
      <w:pPr>
        <w:pStyle w:val="Virsraksts1"/>
      </w:pPr>
      <w:bookmarkStart w:id="2" w:name="_Īpašā_režīma_deklarācijas"/>
      <w:bookmarkStart w:id="3" w:name="_PROFESIJU_KLASIFIKATORA_IMPORTS"/>
      <w:bookmarkStart w:id="4" w:name="_JAUNI_ZIŅU_KODI"/>
      <w:bookmarkStart w:id="5" w:name="_Budžeta_kodu_un"/>
      <w:bookmarkEnd w:id="2"/>
      <w:bookmarkEnd w:id="3"/>
      <w:bookmarkEnd w:id="4"/>
      <w:bookmarkEnd w:id="5"/>
      <w:r>
        <w:t>Bilances un peļņas vai zaudējumu aprēķina veidnes</w:t>
      </w:r>
    </w:p>
    <w:p w:rsidR="00C02E44" w:rsidRDefault="002D4DE3" w:rsidP="002D4DE3">
      <w:r>
        <w:t>Līdz ar jaunā “Gada pārskatu un konsolidēto gada pārskatu likuma” spēkā stāšanos, mainījies EDS failu nosūtīšanas formāts.</w:t>
      </w:r>
    </w:p>
    <w:p w:rsidR="002D4DE3" w:rsidRDefault="002D4DE3" w:rsidP="002D4DE3">
      <w:r>
        <w:t>Veidnes pēc jaunā formāta sistēmā ir izveidotas.</w:t>
      </w:r>
    </w:p>
    <w:p w:rsidR="005259CC" w:rsidRDefault="005259CC" w:rsidP="002D4DE3">
      <w:r>
        <w:t>VID EDS dažādām uzņēmējdarbības formām ir atšķirīgas bilances un PZA.</w:t>
      </w:r>
      <w:r w:rsidR="00793564">
        <w:t xml:space="preserve"> </w:t>
      </w:r>
      <w:r w:rsidR="00793564" w:rsidRPr="005F010C">
        <w:rPr>
          <w:b/>
        </w:rPr>
        <w:t xml:space="preserve">Jumī ir izveidotas un pārbaudītas veidnes </w:t>
      </w:r>
      <w:r w:rsidR="00793564" w:rsidRPr="005F010C">
        <w:rPr>
          <w:b/>
          <w:u w:val="single"/>
        </w:rPr>
        <w:t>uzņēmuma gada pārskatam</w:t>
      </w:r>
      <w:r w:rsidR="00793564">
        <w:t>.</w:t>
      </w:r>
    </w:p>
    <w:p w:rsidR="00793564" w:rsidRDefault="00793564" w:rsidP="00793564">
      <w:pPr>
        <w:ind w:firstLine="0"/>
      </w:pPr>
      <w:r>
        <w:rPr>
          <w:noProof/>
          <w:lang w:eastAsia="lv-LV"/>
        </w:rPr>
        <w:drawing>
          <wp:inline distT="0" distB="0" distL="0" distR="0" wp14:anchorId="2747C4E6" wp14:editId="3E37FE4E">
            <wp:extent cx="3880049" cy="2082907"/>
            <wp:effectExtent l="0" t="0" r="6350" b="0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208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00" w:rsidRDefault="00F72A00" w:rsidP="00F72A00">
      <w:pPr>
        <w:pStyle w:val="Virsraksts2"/>
      </w:pPr>
      <w:r>
        <w:lastRenderedPageBreak/>
        <w:t>Bilances veidne</w:t>
      </w:r>
    </w:p>
    <w:p w:rsidR="002D4DE3" w:rsidRDefault="002D4DE3" w:rsidP="002D4DE3">
      <w:pPr>
        <w:ind w:firstLine="0"/>
      </w:pPr>
      <w:r>
        <w:rPr>
          <w:noProof/>
          <w:lang w:eastAsia="lv-LV"/>
        </w:rPr>
        <w:drawing>
          <wp:inline distT="0" distB="0" distL="0" distR="0" wp14:anchorId="1B78BB46" wp14:editId="1C8A5979">
            <wp:extent cx="2690785" cy="360000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078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00" w:rsidRDefault="00F72A00" w:rsidP="00D50AFD">
      <w:r>
        <w:t xml:space="preserve">Jāņem vērā, ka Jumī </w:t>
      </w:r>
      <w:r w:rsidR="005259CC">
        <w:t xml:space="preserve">bilancē </w:t>
      </w:r>
      <w:r>
        <w:t xml:space="preserve">kontu pievienošana iespējama tikai trešajā rindu līmenī, tāpēc dažas rindas, kas pēc struktūras būtu iekļaujamas 4.līmenī, tiek pievienotas 3.līmenim. Piemēram, </w:t>
      </w:r>
      <w:r w:rsidR="00904702">
        <w:t>grupā “Nekustamie īpašumi” apakšgrupas a) un b) ir vienā struktūrlīmenī ar grupas nosaukumu. Tas nozīmē, ka rindā R100 nebūs a) un b) apakšgrupu kopsummu. Eksportējot uz EDS</w:t>
      </w:r>
      <w:r w:rsidR="00FE1B67">
        <w:t>,</w:t>
      </w:r>
      <w:r w:rsidR="00904702">
        <w:t xml:space="preserve"> rindas R100 kopsummas neesamība neko neiespaido, jo EDS šo rindu aprēķina matemātiski.</w:t>
      </w:r>
    </w:p>
    <w:p w:rsidR="00F72A00" w:rsidRDefault="00F72A00" w:rsidP="002D4DE3">
      <w:pPr>
        <w:ind w:firstLine="0"/>
      </w:pPr>
      <w:r>
        <w:rPr>
          <w:noProof/>
          <w:lang w:eastAsia="lv-LV"/>
        </w:rPr>
        <w:drawing>
          <wp:inline distT="0" distB="0" distL="0" distR="0" wp14:anchorId="0ABB5468" wp14:editId="0792C94E">
            <wp:extent cx="5659594" cy="198000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959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02" w:rsidRDefault="00FE1B67" w:rsidP="00EB29B9">
      <w:r>
        <w:t>Tas pats attiecas uz grupu “Dzīvnieki un augi” sadaļā “Ilgtermiņa ieguldījumi” un grupu “Dzīvnieki un augi” sadaļā “Krājumi”.</w:t>
      </w:r>
    </w:p>
    <w:p w:rsidR="00F70CFC" w:rsidRDefault="00F70CFC" w:rsidP="00EB29B9">
      <w:r>
        <w:t>Bilances kopsummas šo rindu (R100; R130; R410) kopsummu neesamība neiespaido</w:t>
      </w:r>
      <w:r w:rsidR="00EB29B9">
        <w:t>, jo EDS šīs summas aprēķina matemātiski no apakšgrupās uzrādītajiem skaitļiem</w:t>
      </w:r>
      <w:r>
        <w:t>.</w:t>
      </w:r>
    </w:p>
    <w:tbl>
      <w:tblPr>
        <w:tblStyle w:val="Reatabula"/>
        <w:tblW w:w="0" w:type="auto"/>
        <w:jc w:val="center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dotted" w:sz="4" w:space="0" w:color="009900"/>
          <w:insideV w:val="dotted" w:sz="4" w:space="0" w:color="009900"/>
        </w:tblBorders>
        <w:tblLook w:val="04A0" w:firstRow="1" w:lastRow="0" w:firstColumn="1" w:lastColumn="0" w:noHBand="0" w:noVBand="1"/>
      </w:tblPr>
      <w:tblGrid>
        <w:gridCol w:w="943"/>
        <w:gridCol w:w="9194"/>
      </w:tblGrid>
      <w:tr w:rsidR="00D53C55" w:rsidTr="00D53C55">
        <w:trPr>
          <w:trHeight w:val="591"/>
          <w:jc w:val="center"/>
        </w:trPr>
        <w:tc>
          <w:tcPr>
            <w:tcW w:w="943" w:type="dxa"/>
            <w:vMerge w:val="restart"/>
            <w:vAlign w:val="center"/>
          </w:tcPr>
          <w:p w:rsidR="00D53C55" w:rsidRPr="00FB4BF1" w:rsidRDefault="00D53C55" w:rsidP="00071703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r w:rsidRPr="00E10522">
              <w:rPr>
                <w:rFonts w:ascii="Times New Roman" w:hAnsi="Times New Roman"/>
                <w:b/>
                <w:color w:val="007300"/>
                <w:sz w:val="52"/>
                <w:szCs w:val="52"/>
              </w:rPr>
              <w:sym w:font="Wingdings" w:char="F047"/>
            </w:r>
          </w:p>
        </w:tc>
        <w:tc>
          <w:tcPr>
            <w:tcW w:w="9194" w:type="dxa"/>
            <w:vAlign w:val="center"/>
          </w:tcPr>
          <w:p w:rsidR="00D53C55" w:rsidRPr="00D70F6B" w:rsidRDefault="00D53C55" w:rsidP="00071703">
            <w:pPr>
              <w:spacing w:line="240" w:lineRule="auto"/>
              <w:ind w:firstLine="0"/>
              <w:rPr>
                <w:rStyle w:val="Izteiksmgs"/>
              </w:rPr>
            </w:pPr>
            <w:r w:rsidRPr="00D70F6B">
              <w:rPr>
                <w:rStyle w:val="Izteiksmgs"/>
              </w:rPr>
              <w:t>Atgādinām, ka bilances noapaļošana jāveic Excel tabul</w:t>
            </w:r>
            <w:r>
              <w:rPr>
                <w:rStyle w:val="Izteiksmgs"/>
              </w:rPr>
              <w:t>ās!</w:t>
            </w:r>
          </w:p>
        </w:tc>
      </w:tr>
      <w:tr w:rsidR="00D53C55" w:rsidTr="00D53C55">
        <w:trPr>
          <w:trHeight w:val="591"/>
          <w:jc w:val="center"/>
        </w:trPr>
        <w:tc>
          <w:tcPr>
            <w:tcW w:w="943" w:type="dxa"/>
            <w:vMerge/>
          </w:tcPr>
          <w:p w:rsidR="00D53C55" w:rsidRPr="00E10522" w:rsidRDefault="00D53C55" w:rsidP="00071703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7300"/>
                <w:sz w:val="52"/>
                <w:szCs w:val="52"/>
              </w:rPr>
            </w:pPr>
          </w:p>
        </w:tc>
        <w:tc>
          <w:tcPr>
            <w:tcW w:w="9194" w:type="dxa"/>
            <w:vAlign w:val="center"/>
          </w:tcPr>
          <w:p w:rsidR="00D53C55" w:rsidRPr="00D70F6B" w:rsidRDefault="00D53C55" w:rsidP="00071703">
            <w:pPr>
              <w:spacing w:line="240" w:lineRule="auto"/>
              <w:ind w:firstLine="0"/>
              <w:rPr>
                <w:rStyle w:val="Izteiksmgs"/>
              </w:rPr>
            </w:pPr>
            <w:r w:rsidRPr="00D70F6B">
              <w:rPr>
                <w:rStyle w:val="Izteiksmgs"/>
              </w:rPr>
              <w:t>Šajās tabulās ir jāievieto visas atbilstošās formulas, gan rindu, gan sadaļu, gan bilances kopsummu pārbaudīšanai.</w:t>
            </w:r>
          </w:p>
        </w:tc>
      </w:tr>
    </w:tbl>
    <w:p w:rsidR="00F33ECB" w:rsidRPr="00EB29B9" w:rsidRDefault="00724437" w:rsidP="00EB29B9">
      <w:pPr>
        <w:pStyle w:val="Virsraksts2"/>
      </w:pPr>
      <w:r w:rsidRPr="00EB29B9">
        <w:lastRenderedPageBreak/>
        <w:t>Peļņas vai zaudējumu veidnes</w:t>
      </w:r>
    </w:p>
    <w:p w:rsidR="00D50AFD" w:rsidRDefault="00D50AFD" w:rsidP="00D50AFD">
      <w:r>
        <w:t xml:space="preserve">Sistēmā izveidotas </w:t>
      </w:r>
      <w:r w:rsidR="000D0F65">
        <w:t>divas likumdošanā noteiktās veidnes</w:t>
      </w:r>
      <w:r w:rsidR="009F017E">
        <w:t>:</w:t>
      </w:r>
    </w:p>
    <w:p w:rsidR="009F017E" w:rsidRDefault="009F017E" w:rsidP="009F017E">
      <w:pPr>
        <w:pStyle w:val="Sarakstarindkopa"/>
        <w:numPr>
          <w:ilvl w:val="0"/>
          <w:numId w:val="46"/>
        </w:numPr>
      </w:pPr>
      <w:r>
        <w:t>Pēc apgrozījuma izmaksu metodes;</w:t>
      </w:r>
    </w:p>
    <w:p w:rsidR="009F017E" w:rsidRDefault="009F017E" w:rsidP="009F017E">
      <w:pPr>
        <w:pStyle w:val="Sarakstarindkopa"/>
        <w:numPr>
          <w:ilvl w:val="0"/>
          <w:numId w:val="46"/>
        </w:numPr>
      </w:pPr>
      <w:r>
        <w:t>Periodisko izmaksu metodes</w:t>
      </w:r>
    </w:p>
    <w:p w:rsidR="009F017E" w:rsidRDefault="009F017E" w:rsidP="00D50AFD">
      <w:r>
        <w:rPr>
          <w:noProof/>
          <w:lang w:eastAsia="lv-LV"/>
        </w:rPr>
        <w:drawing>
          <wp:inline distT="0" distB="0" distL="0" distR="0" wp14:anchorId="2E84A50D" wp14:editId="2E3D2BF4">
            <wp:extent cx="4426177" cy="647733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6177" cy="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9B9" w:rsidRDefault="00EB29B9" w:rsidP="00EB29B9">
      <w:pPr>
        <w:pStyle w:val="Virsraksts3"/>
      </w:pPr>
      <w:r>
        <w:t>Rindas, kurās var uzrādīt gan ieņēmumus, gan izdevumus</w:t>
      </w:r>
    </w:p>
    <w:p w:rsidR="009F017E" w:rsidRDefault="009F017E" w:rsidP="009F017E">
      <w:r>
        <w:t xml:space="preserve">Veidojot PZA jāņem vērā, ka </w:t>
      </w:r>
      <w:r w:rsidRPr="00F92806">
        <w:rPr>
          <w:b/>
        </w:rPr>
        <w:t>jaunajās veidn</w:t>
      </w:r>
      <w:r w:rsidR="00F212B2" w:rsidRPr="00F92806">
        <w:rPr>
          <w:b/>
        </w:rPr>
        <w:t>ēs ir rindas, kurās tiek norādīti gan ieņēmumi, gan izdevumi</w:t>
      </w:r>
      <w:r w:rsidR="00F212B2">
        <w:t>. Lai būtu atpazīstami vai skaitlis ir izdevumi vai ieņēmumi, ir izveidota speciāla atpazīstamība – ja skaitlis ir iekavās, tas nozīmē, ka tie ir izdevumi un uz EDS tas tiks eksportēts ar mīnusa zīmi.</w:t>
      </w:r>
    </w:p>
    <w:p w:rsidR="00F212B2" w:rsidRPr="008E5240" w:rsidRDefault="00F212B2" w:rsidP="009F017E">
      <w:pPr>
        <w:rPr>
          <w:rStyle w:val="Izsmalcintsizclums"/>
        </w:rPr>
      </w:pPr>
      <w:r w:rsidRPr="008E5240">
        <w:rPr>
          <w:rStyle w:val="Izsmalcintsizclums"/>
        </w:rPr>
        <w:t>Piemēram, rinda “2. Gatavās produkcijas un nepabeigto ražojumu krājumu izmaiņas.”</w:t>
      </w:r>
      <w:r w:rsidR="008E5240" w:rsidRPr="008E5240">
        <w:rPr>
          <w:rStyle w:val="Izsmalcintsizclums"/>
        </w:rPr>
        <w:t xml:space="preserve"> – krājumu izmaiņas var būt gan pozitīvas, gan negatīvas.</w:t>
      </w:r>
      <w:r w:rsidR="008E5240">
        <w:rPr>
          <w:rStyle w:val="Izsmalcintsizclums"/>
        </w:rPr>
        <w:t xml:space="preserve"> Piemērā, izmaiņas ir ar palielinājumu, tātad – izmaksās un skaitlim priekšā ir mīnusa zīme.</w:t>
      </w:r>
    </w:p>
    <w:p w:rsidR="008E5240" w:rsidRDefault="008E5240" w:rsidP="008E5240">
      <w:pPr>
        <w:ind w:firstLine="0"/>
      </w:pPr>
      <w:r>
        <w:rPr>
          <w:noProof/>
          <w:lang w:eastAsia="lv-LV"/>
        </w:rPr>
        <w:drawing>
          <wp:inline distT="0" distB="0" distL="0" distR="0" wp14:anchorId="0CC5FB16" wp14:editId="383D3860">
            <wp:extent cx="5423179" cy="1187511"/>
            <wp:effectExtent l="0" t="0" r="635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23179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DC" w:rsidRDefault="00A725DC" w:rsidP="00A725DC">
      <w:r>
        <w:t xml:space="preserve">Peļņas vai zaudējumu aprēķina veidnē nav iespējams uzrādīt apakšrindu saskaitīšanu, tāpēc ir virkne rindu, kurām ir apakšrindas ar kontu piesaisti, bet </w:t>
      </w:r>
      <w:r w:rsidR="0005119D">
        <w:t>šīs</w:t>
      </w:r>
      <w:r>
        <w:t xml:space="preserve"> apakšrindas netiek saskait</w:t>
      </w:r>
      <w:r w:rsidR="0005119D">
        <w:t>ītas.</w:t>
      </w:r>
    </w:p>
    <w:p w:rsidR="0005119D" w:rsidRDefault="0005119D" w:rsidP="00A725DC">
      <w:r>
        <w:t>Viena no tādām rindām ir “Neto apgrozījums”, kurai ir divas apakšrindas, kas “uz augšu” netiek saskaitītas</w:t>
      </w:r>
    </w:p>
    <w:p w:rsidR="0005119D" w:rsidRDefault="0005119D" w:rsidP="0005119D">
      <w:pPr>
        <w:ind w:firstLine="0"/>
      </w:pPr>
      <w:r>
        <w:rPr>
          <w:noProof/>
          <w:lang w:eastAsia="lv-LV"/>
        </w:rPr>
        <w:drawing>
          <wp:inline distT="0" distB="0" distL="0" distR="0" wp14:anchorId="46A24805" wp14:editId="6069AB17">
            <wp:extent cx="5423179" cy="1187511"/>
            <wp:effectExtent l="0" t="0" r="635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3179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9D" w:rsidRDefault="00CE2F22" w:rsidP="00CE2F22">
      <w:r>
        <w:t>Matemātiskā saskaitīšana nav veidota tāpēc, ka eksportā uz EDS “Neto apgrozījuma” summa netiek eksportēta, jo EDS to aprēķina matemātiski.</w:t>
      </w:r>
    </w:p>
    <w:p w:rsidR="00EB29B9" w:rsidRDefault="00EB29B9" w:rsidP="00EB29B9">
      <w:pPr>
        <w:pStyle w:val="Virsraksts3"/>
      </w:pPr>
      <w:r>
        <w:t>Kļūdas, kas rodas PZA, ja konta apgrozījums ir ar mīnusa zīmi</w:t>
      </w:r>
    </w:p>
    <w:p w:rsidR="00A7235D" w:rsidRDefault="00792432" w:rsidP="00EB29B9">
      <w:r>
        <w:t>Vienmēr esam uzsvēruši, ka ārkārtīgi uzmanīgi jāizvērtē, vai kontējumā summai likt mīnusa zīmi vai tomēr veikt pretēju grāmatojumu.</w:t>
      </w:r>
    </w:p>
    <w:p w:rsidR="00596C39" w:rsidRDefault="00A7235D" w:rsidP="00EB29B9">
      <w:r>
        <w:t>Ja ir,</w:t>
      </w:r>
      <w:r w:rsidR="00792432">
        <w:t xml:space="preserve"> veikts grāmatojums, kurš ir ar mīnusa z</w:t>
      </w:r>
      <w:r w:rsidR="0080286A">
        <w:t>īmi</w:t>
      </w:r>
      <w:r>
        <w:t xml:space="preserve"> un </w:t>
      </w:r>
      <w:r w:rsidRPr="00390730">
        <w:rPr>
          <w:b/>
        </w:rPr>
        <w:t xml:space="preserve">konta </w:t>
      </w:r>
      <w:r w:rsidR="00CE58E8" w:rsidRPr="00390730">
        <w:rPr>
          <w:b/>
        </w:rPr>
        <w:t>apgrozījums arī ir ar mīnusa zīmi</w:t>
      </w:r>
      <w:r>
        <w:t xml:space="preserve"> –</w:t>
      </w:r>
      <w:r w:rsidR="0080286A">
        <w:t xml:space="preserve"> PZA </w:t>
      </w:r>
      <w:r>
        <w:t>būs</w:t>
      </w:r>
      <w:r w:rsidR="0080286A">
        <w:t xml:space="preserve"> nepareiz</w:t>
      </w:r>
      <w:r>
        <w:t>s</w:t>
      </w:r>
      <w:r w:rsidR="0080286A">
        <w:t xml:space="preserve"> rezultāt</w:t>
      </w:r>
      <w:r>
        <w:t>s</w:t>
      </w:r>
      <w:r w:rsidR="00596C39">
        <w:t>:</w:t>
      </w:r>
    </w:p>
    <w:p w:rsidR="00EB29B9" w:rsidRDefault="00CE58E8" w:rsidP="00596C39">
      <w:pPr>
        <w:ind w:firstLine="0"/>
      </w:pPr>
      <w:r>
        <w:rPr>
          <w:noProof/>
          <w:lang w:eastAsia="lv-LV"/>
        </w:rPr>
        <w:lastRenderedPageBreak/>
        <w:drawing>
          <wp:inline distT="0" distB="0" distL="0" distR="0" wp14:anchorId="53862E58" wp14:editId="485B2D75">
            <wp:extent cx="5200917" cy="495325"/>
            <wp:effectExtent l="0" t="0" r="0" b="0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0917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86A">
        <w:t>.</w:t>
      </w:r>
    </w:p>
    <w:p w:rsidR="0080286A" w:rsidRPr="0080286A" w:rsidRDefault="0080286A" w:rsidP="0080286A">
      <w:pPr>
        <w:rPr>
          <w:rStyle w:val="Izsmalcintsizclums"/>
        </w:rPr>
      </w:pPr>
      <w:r w:rsidRPr="0080286A">
        <w:rPr>
          <w:rStyle w:val="Izsmalcintsizclums"/>
        </w:rPr>
        <w:t>Piemēram, kredītrēķina grāmatojums ar mīnusa zīmi</w:t>
      </w:r>
    </w:p>
    <w:p w:rsidR="0080286A" w:rsidRDefault="00FB34FA" w:rsidP="0080286A">
      <w:pPr>
        <w:ind w:firstLine="0"/>
      </w:pPr>
      <w:r>
        <w:rPr>
          <w:noProof/>
          <w:lang w:eastAsia="lv-LV"/>
        </w:rPr>
        <w:drawing>
          <wp:inline distT="0" distB="0" distL="0" distR="0" wp14:anchorId="166D7D38" wp14:editId="0FE42C91">
            <wp:extent cx="3802500" cy="540000"/>
            <wp:effectExtent l="0" t="0" r="0" b="0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025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30" w:rsidRDefault="00390730" w:rsidP="00390730">
      <w:r>
        <w:t>PZA norādīts pie ieņēmumiem, jo Kredītrēķins samazina ieņēmumus</w:t>
      </w:r>
    </w:p>
    <w:p w:rsidR="0080286A" w:rsidRDefault="004F5109" w:rsidP="0080286A">
      <w:pPr>
        <w:ind w:firstLine="0"/>
      </w:pPr>
      <w:r>
        <w:rPr>
          <w:noProof/>
          <w:lang w:eastAsia="lv-LV"/>
        </w:rPr>
        <w:drawing>
          <wp:inline distT="0" distB="0" distL="0" distR="0" wp14:anchorId="79618C59" wp14:editId="2D1BA5B1">
            <wp:extent cx="5423179" cy="831893"/>
            <wp:effectExtent l="0" t="0" r="6350" b="6350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23179" cy="8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FA" w:rsidRDefault="00FB34FA" w:rsidP="00767F9D">
      <w:r>
        <w:t>PZA summa ir nomīnu</w:t>
      </w:r>
      <w:r w:rsidR="00767F9D">
        <w:t>sota un aprēķins ir pareizs, bet, ieimportējot EDS – datos būs kļūda, jo šis lauks EDSā nav paredzēts skaitlim ar mīnusa zīmi</w:t>
      </w:r>
    </w:p>
    <w:p w:rsidR="00767F9D" w:rsidRDefault="00767F9D" w:rsidP="0080286A">
      <w:pPr>
        <w:ind w:firstLine="0"/>
      </w:pPr>
      <w:r>
        <w:rPr>
          <w:noProof/>
          <w:lang w:eastAsia="lv-LV"/>
        </w:rPr>
        <w:drawing>
          <wp:inline distT="0" distB="0" distL="0" distR="0" wp14:anchorId="5E72F5F0" wp14:editId="51B42406">
            <wp:extent cx="5004255" cy="720000"/>
            <wp:effectExtent l="0" t="0" r="0" b="0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0425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F9D" w:rsidRDefault="00767F9D" w:rsidP="00767F9D">
      <w:r>
        <w:t>Kas nozīmē, ka peļņa vai zaudējumi pirms nodokļiem nebūs pareizi</w:t>
      </w:r>
    </w:p>
    <w:p w:rsidR="00767F9D" w:rsidRDefault="00767F9D" w:rsidP="0080286A">
      <w:pPr>
        <w:ind w:firstLine="0"/>
      </w:pPr>
      <w:r>
        <w:rPr>
          <w:noProof/>
          <w:lang w:eastAsia="lv-LV"/>
        </w:rPr>
        <w:drawing>
          <wp:inline distT="0" distB="0" distL="0" distR="0" wp14:anchorId="009CBA02" wp14:editId="2B72B4A3">
            <wp:extent cx="5333458" cy="1332000"/>
            <wp:effectExtent l="0" t="0" r="0" b="0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3458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39" w:rsidRDefault="00CE58E8" w:rsidP="00596C39">
      <w:r>
        <w:t>Ja šādi grāmatojumi ir veikti, tad konts jānorāda izmaksu rindā</w:t>
      </w:r>
      <w:r w:rsidR="00390730">
        <w:t xml:space="preserve"> un rezultāts būs pareizs.</w:t>
      </w:r>
    </w:p>
    <w:p w:rsidR="006A54BB" w:rsidRDefault="006A54BB" w:rsidP="00FB34FA">
      <w:pPr>
        <w:ind w:firstLine="0"/>
      </w:pPr>
      <w:r>
        <w:rPr>
          <w:noProof/>
          <w:lang w:eastAsia="lv-LV"/>
        </w:rPr>
        <w:drawing>
          <wp:inline distT="0" distB="0" distL="0" distR="0" wp14:anchorId="55CA1963" wp14:editId="1D6753E7">
            <wp:extent cx="5272603" cy="1512000"/>
            <wp:effectExtent l="0" t="0" r="0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2603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30" w:rsidRDefault="00B55639" w:rsidP="00B55639">
      <w:r w:rsidRPr="00B55639">
        <w:rPr>
          <w:b/>
        </w:rPr>
        <w:t>Ja ir veikti grāmatojumi ar mīnusa zīmi,</w:t>
      </w:r>
      <w:r>
        <w:t xml:space="preserve"> bet atlikums ir konta pareizajā pusē, lūdzu, </w:t>
      </w:r>
      <w:r w:rsidRPr="00B55639">
        <w:rPr>
          <w:b/>
        </w:rPr>
        <w:t xml:space="preserve">pārbaudiet peļņas vai aprēķina </w:t>
      </w:r>
      <w:r>
        <w:rPr>
          <w:b/>
        </w:rPr>
        <w:t>rezultātu</w:t>
      </w:r>
      <w:r>
        <w:t>!</w:t>
      </w:r>
    </w:p>
    <w:tbl>
      <w:tblPr>
        <w:tblStyle w:val="Reatabula"/>
        <w:tblW w:w="0" w:type="auto"/>
        <w:jc w:val="center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dotted" w:sz="4" w:space="0" w:color="009900"/>
          <w:insideV w:val="dotted" w:sz="4" w:space="0" w:color="009900"/>
        </w:tblBorders>
        <w:tblLook w:val="04A0" w:firstRow="1" w:lastRow="0" w:firstColumn="1" w:lastColumn="0" w:noHBand="0" w:noVBand="1"/>
      </w:tblPr>
      <w:tblGrid>
        <w:gridCol w:w="943"/>
        <w:gridCol w:w="9194"/>
      </w:tblGrid>
      <w:tr w:rsidR="00CE2F22" w:rsidTr="00A96C47">
        <w:trPr>
          <w:trHeight w:val="591"/>
          <w:jc w:val="center"/>
        </w:trPr>
        <w:tc>
          <w:tcPr>
            <w:tcW w:w="943" w:type="dxa"/>
            <w:vMerge w:val="restart"/>
            <w:vAlign w:val="center"/>
          </w:tcPr>
          <w:p w:rsidR="00CE2F22" w:rsidRPr="00FB4BF1" w:rsidRDefault="00CE2F22" w:rsidP="00C35546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r w:rsidRPr="00E10522">
              <w:rPr>
                <w:rFonts w:ascii="Times New Roman" w:hAnsi="Times New Roman"/>
                <w:b/>
                <w:color w:val="007300"/>
                <w:sz w:val="52"/>
                <w:szCs w:val="52"/>
              </w:rPr>
              <w:sym w:font="Wingdings" w:char="F047"/>
            </w:r>
          </w:p>
        </w:tc>
        <w:tc>
          <w:tcPr>
            <w:tcW w:w="9194" w:type="dxa"/>
            <w:vAlign w:val="center"/>
          </w:tcPr>
          <w:p w:rsidR="00CE2F22" w:rsidRPr="00D70F6B" w:rsidRDefault="00CE2F22" w:rsidP="00C35546">
            <w:pPr>
              <w:spacing w:line="240" w:lineRule="auto"/>
              <w:ind w:firstLine="0"/>
              <w:rPr>
                <w:rStyle w:val="Izteiksmgs"/>
              </w:rPr>
            </w:pPr>
            <w:r w:rsidRPr="00D70F6B">
              <w:rPr>
                <w:rStyle w:val="Izteiksmgs"/>
              </w:rPr>
              <w:t xml:space="preserve">Atgādinām, ka </w:t>
            </w:r>
            <w:r>
              <w:rPr>
                <w:rStyle w:val="Izteiksmgs"/>
              </w:rPr>
              <w:t>peļņas vai zaudējumu aprēķina</w:t>
            </w:r>
            <w:r w:rsidRPr="00D70F6B">
              <w:rPr>
                <w:rStyle w:val="Izteiksmgs"/>
              </w:rPr>
              <w:t xml:space="preserve"> noapaļošana jāveic Excel tabul</w:t>
            </w:r>
            <w:r>
              <w:rPr>
                <w:rStyle w:val="Izteiksmgs"/>
              </w:rPr>
              <w:t>ās!</w:t>
            </w:r>
          </w:p>
        </w:tc>
      </w:tr>
      <w:tr w:rsidR="00CE2F22" w:rsidTr="00A96C47">
        <w:trPr>
          <w:trHeight w:val="591"/>
          <w:jc w:val="center"/>
        </w:trPr>
        <w:tc>
          <w:tcPr>
            <w:tcW w:w="943" w:type="dxa"/>
            <w:vMerge/>
          </w:tcPr>
          <w:p w:rsidR="00CE2F22" w:rsidRPr="00E10522" w:rsidRDefault="00CE2F22" w:rsidP="00C35546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7300"/>
                <w:sz w:val="52"/>
                <w:szCs w:val="52"/>
              </w:rPr>
            </w:pPr>
          </w:p>
        </w:tc>
        <w:tc>
          <w:tcPr>
            <w:tcW w:w="9194" w:type="dxa"/>
            <w:vAlign w:val="center"/>
          </w:tcPr>
          <w:p w:rsidR="00CE2F22" w:rsidRPr="00D70F6B" w:rsidRDefault="00CE2F22" w:rsidP="00C35546">
            <w:pPr>
              <w:spacing w:line="240" w:lineRule="auto"/>
              <w:ind w:firstLine="0"/>
              <w:rPr>
                <w:rStyle w:val="Izteiksmgs"/>
              </w:rPr>
            </w:pPr>
            <w:r w:rsidRPr="00D70F6B">
              <w:rPr>
                <w:rStyle w:val="Izteiksmgs"/>
              </w:rPr>
              <w:t>Šajās tabulās ir jāievieto visas atbil</w:t>
            </w:r>
            <w:r>
              <w:rPr>
                <w:rStyle w:val="Izteiksmgs"/>
              </w:rPr>
              <w:t xml:space="preserve">stošās formulas, gan rindu, gan starpsummu </w:t>
            </w:r>
            <w:r w:rsidRPr="00D70F6B">
              <w:rPr>
                <w:rStyle w:val="Izteiksmgs"/>
              </w:rPr>
              <w:t>pārbaudīšanai.</w:t>
            </w:r>
          </w:p>
        </w:tc>
      </w:tr>
    </w:tbl>
    <w:p w:rsidR="00A42718" w:rsidRDefault="00A42718" w:rsidP="00A42718">
      <w:pPr>
        <w:pStyle w:val="Virsraksts2"/>
      </w:pPr>
      <w:r>
        <w:lastRenderedPageBreak/>
        <w:t>Eksports uz EDS</w:t>
      </w:r>
    </w:p>
    <w:p w:rsidR="00A42718" w:rsidRDefault="00A42718" w:rsidP="00A42718">
      <w:r>
        <w:t>Eksportēšanas princips uz EDS nav mainīts.</w:t>
      </w:r>
    </w:p>
    <w:p w:rsidR="00A42718" w:rsidRDefault="00A42718" w:rsidP="00A42718">
      <w:pPr>
        <w:pStyle w:val="Sarakstarindkopa"/>
        <w:numPr>
          <w:ilvl w:val="0"/>
          <w:numId w:val="47"/>
        </w:numPr>
      </w:pPr>
      <w:r>
        <w:t>Jāsagatavo atbilstošā PZA veidne (jāpiesaista konti);</w:t>
      </w:r>
    </w:p>
    <w:p w:rsidR="00A42718" w:rsidRDefault="00A42718" w:rsidP="00A42718">
      <w:pPr>
        <w:pStyle w:val="Sarakstarindkopa"/>
        <w:numPr>
          <w:ilvl w:val="0"/>
          <w:numId w:val="47"/>
        </w:numPr>
      </w:pPr>
      <w:r>
        <w:t>Jāveic bilances aprēķins (pirms</w:t>
      </w:r>
      <w:r w:rsidR="00553043">
        <w:t xml:space="preserve"> tam, veicot visos kontos atlikumu pārbaudi</w:t>
      </w:r>
      <w:r>
        <w:t xml:space="preserve"> un kontu manuālu pārgrāmatošanu, ja konta atlikums nav pareizajā pusē)</w:t>
      </w:r>
    </w:p>
    <w:p w:rsidR="00A42718" w:rsidRDefault="00553043" w:rsidP="00A42718">
      <w:pPr>
        <w:pStyle w:val="Sarakstarindkopa"/>
        <w:numPr>
          <w:ilvl w:val="0"/>
          <w:numId w:val="47"/>
        </w:numPr>
      </w:pPr>
      <w:r>
        <w:t>Jāizvēlas atbilstošā veidne</w:t>
      </w:r>
    </w:p>
    <w:p w:rsidR="00553043" w:rsidRDefault="00553043" w:rsidP="00A42718">
      <w:pPr>
        <w:pStyle w:val="Sarakstarindkopa"/>
        <w:numPr>
          <w:ilvl w:val="0"/>
          <w:numId w:val="47"/>
        </w:numPr>
      </w:pPr>
      <w:r>
        <w:t>Jāsaglabā sagatavotais fails</w:t>
      </w:r>
    </w:p>
    <w:p w:rsidR="00553043" w:rsidRDefault="00553043" w:rsidP="00A42718">
      <w:pPr>
        <w:pStyle w:val="Sarakstarindkopa"/>
        <w:numPr>
          <w:ilvl w:val="0"/>
          <w:numId w:val="47"/>
        </w:numPr>
      </w:pPr>
      <w:r>
        <w:t>Jāimportē fails EDS.</w:t>
      </w:r>
    </w:p>
    <w:p w:rsidR="00553043" w:rsidRDefault="00553043" w:rsidP="00C35546">
      <w:pPr>
        <w:spacing w:line="240" w:lineRule="auto"/>
        <w:ind w:firstLine="0"/>
      </w:pPr>
      <w:r>
        <w:rPr>
          <w:noProof/>
          <w:lang w:eastAsia="lv-LV"/>
        </w:rPr>
        <w:drawing>
          <wp:inline distT="0" distB="0" distL="0" distR="0" wp14:anchorId="69D66F77" wp14:editId="00B05098">
            <wp:extent cx="5175516" cy="3327571"/>
            <wp:effectExtent l="0" t="0" r="6350" b="635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75516" cy="332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546" w:rsidRDefault="00C35546" w:rsidP="00C35546">
      <w:pPr>
        <w:spacing w:line="240" w:lineRule="auto"/>
        <w:ind w:firstLine="0"/>
      </w:pPr>
    </w:p>
    <w:tbl>
      <w:tblPr>
        <w:tblStyle w:val="Reatabula"/>
        <w:tblW w:w="0" w:type="auto"/>
        <w:jc w:val="center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dotted" w:sz="4" w:space="0" w:color="009900"/>
          <w:insideV w:val="dotted" w:sz="4" w:space="0" w:color="009900"/>
        </w:tblBorders>
        <w:tblLook w:val="04A0" w:firstRow="1" w:lastRow="0" w:firstColumn="1" w:lastColumn="0" w:noHBand="0" w:noVBand="1"/>
      </w:tblPr>
      <w:tblGrid>
        <w:gridCol w:w="943"/>
        <w:gridCol w:w="9194"/>
      </w:tblGrid>
      <w:tr w:rsidR="00746E39" w:rsidTr="00A96C47">
        <w:trPr>
          <w:trHeight w:val="591"/>
          <w:jc w:val="center"/>
        </w:trPr>
        <w:tc>
          <w:tcPr>
            <w:tcW w:w="943" w:type="dxa"/>
            <w:vAlign w:val="center"/>
          </w:tcPr>
          <w:p w:rsidR="00746E39" w:rsidRPr="00FB4BF1" w:rsidRDefault="00746E39" w:rsidP="00C35546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bookmarkStart w:id="6" w:name="_GoBack"/>
            <w:r w:rsidRPr="00E10522">
              <w:rPr>
                <w:rFonts w:ascii="Times New Roman" w:hAnsi="Times New Roman"/>
                <w:b/>
                <w:color w:val="007300"/>
                <w:sz w:val="52"/>
                <w:szCs w:val="52"/>
              </w:rPr>
              <w:sym w:font="Wingdings" w:char="F047"/>
            </w:r>
          </w:p>
        </w:tc>
        <w:tc>
          <w:tcPr>
            <w:tcW w:w="9194" w:type="dxa"/>
            <w:vAlign w:val="center"/>
          </w:tcPr>
          <w:p w:rsidR="00746E39" w:rsidRPr="00D70F6B" w:rsidRDefault="00746E39" w:rsidP="00C35546">
            <w:pPr>
              <w:spacing w:line="240" w:lineRule="auto"/>
              <w:ind w:firstLine="0"/>
              <w:rPr>
                <w:rStyle w:val="Izteiksmgs"/>
              </w:rPr>
            </w:pPr>
            <w:r>
              <w:rPr>
                <w:rStyle w:val="Izteiksmgs"/>
              </w:rPr>
              <w:t xml:space="preserve">Detalizēts apraksts pieejams elektroniskajā rokasgrāmatā </w:t>
            </w:r>
            <w:hyperlink r:id="rId30" w:history="1">
              <w:r w:rsidRPr="00746E39">
                <w:rPr>
                  <w:rStyle w:val="Hipersaite"/>
                  <w:rFonts w:asciiTheme="minorHAnsi" w:hAnsiTheme="minorHAnsi"/>
                  <w:b/>
                  <w:sz w:val="24"/>
                </w:rPr>
                <w:t>Palīgs</w:t>
              </w:r>
            </w:hyperlink>
            <w:r>
              <w:rPr>
                <w:rStyle w:val="Izteiksmgs"/>
              </w:rPr>
              <w:t>!</w:t>
            </w:r>
          </w:p>
        </w:tc>
      </w:tr>
      <w:bookmarkEnd w:id="6"/>
    </w:tbl>
    <w:p w:rsidR="00746E39" w:rsidRPr="00A42718" w:rsidRDefault="00746E39" w:rsidP="00553043">
      <w:pPr>
        <w:ind w:firstLine="0"/>
      </w:pPr>
    </w:p>
    <w:sectPr w:rsidR="00746E39" w:rsidRPr="00A42718" w:rsidSect="00593C8F">
      <w:footerReference w:type="default" r:id="rId3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7D" w:rsidRDefault="00A72C7D" w:rsidP="00E03C48">
      <w:pPr>
        <w:spacing w:line="240" w:lineRule="auto"/>
      </w:pPr>
      <w:r>
        <w:separator/>
      </w:r>
    </w:p>
  </w:endnote>
  <w:endnote w:type="continuationSeparator" w:id="0">
    <w:p w:rsidR="00A72C7D" w:rsidRDefault="00A72C7D" w:rsidP="00E0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skerville T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7D" w:rsidRPr="003E1606" w:rsidRDefault="00A72C7D" w:rsidP="00604938">
    <w:pPr>
      <w:pStyle w:val="Kjene"/>
      <w:pBdr>
        <w:top w:val="single" w:sz="4" w:space="1" w:color="auto"/>
      </w:pBdr>
      <w:rPr>
        <w:rFonts w:asciiTheme="majorHAnsi" w:hAnsiTheme="majorHAnsi"/>
        <w:sz w:val="18"/>
      </w:rPr>
    </w:pPr>
    <w:r w:rsidRPr="003E1606">
      <w:rPr>
        <w:rFonts w:asciiTheme="majorHAnsi" w:hAnsiTheme="majorHAnsi"/>
        <w:sz w:val="18"/>
      </w:rPr>
      <w:t xml:space="preserve">Tildes Jumis </w:t>
    </w:r>
    <w:r w:rsidR="005E7844">
      <w:rPr>
        <w:rFonts w:asciiTheme="majorHAnsi" w:hAnsiTheme="majorHAnsi"/>
        <w:sz w:val="18"/>
      </w:rPr>
      <w:t>2017</w:t>
    </w:r>
    <w:r>
      <w:rPr>
        <w:rFonts w:asciiTheme="majorHAnsi" w:hAnsiTheme="majorHAnsi"/>
        <w:sz w:val="18"/>
      </w:rPr>
      <w:t xml:space="preserve"> </w:t>
    </w:r>
    <w:r w:rsidR="005E7844">
      <w:rPr>
        <w:rFonts w:asciiTheme="majorHAnsi" w:hAnsiTheme="majorHAnsi"/>
        <w:sz w:val="18"/>
      </w:rPr>
      <w:t>Janvāra</w:t>
    </w:r>
    <w:r w:rsidRPr="003E1606">
      <w:rPr>
        <w:rFonts w:asciiTheme="majorHAnsi" w:hAnsiTheme="majorHAnsi"/>
        <w:sz w:val="18"/>
      </w:rPr>
      <w:t xml:space="preserve"> izlaidums</w:t>
    </w:r>
    <w:r w:rsidRPr="003E1606">
      <w:rPr>
        <w:rFonts w:asciiTheme="majorHAnsi" w:hAnsiTheme="majorHAnsi"/>
        <w:sz w:val="18"/>
      </w:rPr>
      <w:ptab w:relativeTo="margin" w:alignment="right" w:leader="none"/>
    </w:r>
    <w:r w:rsidRPr="003E1606">
      <w:rPr>
        <w:rFonts w:asciiTheme="majorHAnsi" w:hAnsiTheme="majorHAnsi"/>
        <w:sz w:val="18"/>
      </w:rPr>
      <w:t xml:space="preserve">Lappuse </w:t>
    </w:r>
    <w:r w:rsidRPr="003E1606">
      <w:rPr>
        <w:sz w:val="18"/>
      </w:rPr>
      <w:fldChar w:fldCharType="begin"/>
    </w:r>
    <w:r w:rsidRPr="003E1606">
      <w:rPr>
        <w:sz w:val="18"/>
      </w:rPr>
      <w:instrText xml:space="preserve"> PAGE   \* MERGEFORMAT </w:instrText>
    </w:r>
    <w:r w:rsidRPr="003E1606">
      <w:rPr>
        <w:sz w:val="18"/>
      </w:rPr>
      <w:fldChar w:fldCharType="separate"/>
    </w:r>
    <w:r w:rsidR="00C35546" w:rsidRPr="00C35546">
      <w:rPr>
        <w:rFonts w:asciiTheme="majorHAnsi" w:hAnsiTheme="majorHAnsi"/>
        <w:noProof/>
        <w:sz w:val="18"/>
      </w:rPr>
      <w:t>7</w:t>
    </w:r>
    <w:r w:rsidRPr="003E1606">
      <w:rPr>
        <w:sz w:val="18"/>
      </w:rPr>
      <w:fldChar w:fldCharType="end"/>
    </w:r>
  </w:p>
  <w:p w:rsidR="00A72C7D" w:rsidRDefault="00A72C7D" w:rsidP="00604938">
    <w:pPr>
      <w:pStyle w:val="Kjene"/>
      <w:tabs>
        <w:tab w:val="clear" w:pos="4153"/>
        <w:tab w:val="clear" w:pos="8306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7D" w:rsidRDefault="00A72C7D" w:rsidP="00E03C48">
      <w:pPr>
        <w:spacing w:line="240" w:lineRule="auto"/>
      </w:pPr>
      <w:r>
        <w:separator/>
      </w:r>
    </w:p>
  </w:footnote>
  <w:footnote w:type="continuationSeparator" w:id="0">
    <w:p w:rsidR="00A72C7D" w:rsidRDefault="00A72C7D" w:rsidP="00E03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716"/>
    <w:multiLevelType w:val="hybridMultilevel"/>
    <w:tmpl w:val="33686E70"/>
    <w:lvl w:ilvl="0" w:tplc="4C76B52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D0B0B"/>
    <w:multiLevelType w:val="hybridMultilevel"/>
    <w:tmpl w:val="1D06D68E"/>
    <w:lvl w:ilvl="0" w:tplc="78B8C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6F73"/>
    <w:multiLevelType w:val="hybridMultilevel"/>
    <w:tmpl w:val="C8E80C0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395875"/>
    <w:multiLevelType w:val="hybridMultilevel"/>
    <w:tmpl w:val="D96EF794"/>
    <w:lvl w:ilvl="0" w:tplc="2C4A665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A5CDB"/>
    <w:multiLevelType w:val="hybridMultilevel"/>
    <w:tmpl w:val="EF36892E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3C435B"/>
    <w:multiLevelType w:val="hybridMultilevel"/>
    <w:tmpl w:val="59580D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2111"/>
    <w:multiLevelType w:val="hybridMultilevel"/>
    <w:tmpl w:val="7688AAC8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4C2CC6"/>
    <w:multiLevelType w:val="hybridMultilevel"/>
    <w:tmpl w:val="18724CBE"/>
    <w:lvl w:ilvl="0" w:tplc="2A4CFF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990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30E4B"/>
    <w:multiLevelType w:val="hybridMultilevel"/>
    <w:tmpl w:val="F300CB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639F8"/>
    <w:multiLevelType w:val="hybridMultilevel"/>
    <w:tmpl w:val="219EF66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47B78"/>
    <w:multiLevelType w:val="hybridMultilevel"/>
    <w:tmpl w:val="0A3CF4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0AFD"/>
    <w:multiLevelType w:val="hybridMultilevel"/>
    <w:tmpl w:val="0CCAF67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F598F"/>
    <w:multiLevelType w:val="multilevel"/>
    <w:tmpl w:val="2BE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175A2"/>
    <w:multiLevelType w:val="hybridMultilevel"/>
    <w:tmpl w:val="2EE681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227E"/>
    <w:multiLevelType w:val="hybridMultilevel"/>
    <w:tmpl w:val="0DD060E8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17C4EF4"/>
    <w:multiLevelType w:val="hybridMultilevel"/>
    <w:tmpl w:val="5874D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D37AB"/>
    <w:multiLevelType w:val="hybridMultilevel"/>
    <w:tmpl w:val="CDBAD7C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E21BAD"/>
    <w:multiLevelType w:val="hybridMultilevel"/>
    <w:tmpl w:val="C172B8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C5495"/>
    <w:multiLevelType w:val="hybridMultilevel"/>
    <w:tmpl w:val="3300D3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273A4"/>
    <w:multiLevelType w:val="hybridMultilevel"/>
    <w:tmpl w:val="45A654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54382"/>
    <w:multiLevelType w:val="hybridMultilevel"/>
    <w:tmpl w:val="10DAC736"/>
    <w:lvl w:ilvl="0" w:tplc="78B8C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96B44"/>
    <w:multiLevelType w:val="hybridMultilevel"/>
    <w:tmpl w:val="AD365C9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7D65B40"/>
    <w:multiLevelType w:val="hybridMultilevel"/>
    <w:tmpl w:val="D3EEE6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3045E"/>
    <w:multiLevelType w:val="hybridMultilevel"/>
    <w:tmpl w:val="3BEA11D6"/>
    <w:lvl w:ilvl="0" w:tplc="A114E894">
      <w:start w:val="1"/>
      <w:numFmt w:val="decimal"/>
      <w:lvlText w:val="%1."/>
      <w:lvlJc w:val="left"/>
      <w:pPr>
        <w:ind w:left="360" w:hanging="360"/>
      </w:pPr>
      <w:rPr>
        <w:b/>
        <w:color w:val="3F6C19" w:themeColor="accent1" w:themeShade="8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1C5992"/>
    <w:multiLevelType w:val="hybridMultilevel"/>
    <w:tmpl w:val="E8EAF8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204D6"/>
    <w:multiLevelType w:val="hybridMultilevel"/>
    <w:tmpl w:val="55E6D04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CA5AB8"/>
    <w:multiLevelType w:val="hybridMultilevel"/>
    <w:tmpl w:val="27AC43C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D348E4"/>
    <w:multiLevelType w:val="hybridMultilevel"/>
    <w:tmpl w:val="52B2F8F0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44AB1557"/>
    <w:multiLevelType w:val="hybridMultilevel"/>
    <w:tmpl w:val="0C240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F7D83"/>
    <w:multiLevelType w:val="hybridMultilevel"/>
    <w:tmpl w:val="A41C4596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8D135F"/>
    <w:multiLevelType w:val="hybridMultilevel"/>
    <w:tmpl w:val="AE1AA2E6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AB018B3"/>
    <w:multiLevelType w:val="hybridMultilevel"/>
    <w:tmpl w:val="A40E25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C49E9"/>
    <w:multiLevelType w:val="hybridMultilevel"/>
    <w:tmpl w:val="6310BF3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AB1E47"/>
    <w:multiLevelType w:val="hybridMultilevel"/>
    <w:tmpl w:val="814834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363BE"/>
    <w:multiLevelType w:val="multilevel"/>
    <w:tmpl w:val="7A6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64347C"/>
    <w:multiLevelType w:val="hybridMultilevel"/>
    <w:tmpl w:val="7520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E09A9"/>
    <w:multiLevelType w:val="hybridMultilevel"/>
    <w:tmpl w:val="8990C7C2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5D944FBE"/>
    <w:multiLevelType w:val="multilevel"/>
    <w:tmpl w:val="D8E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1B6AD3"/>
    <w:multiLevelType w:val="hybridMultilevel"/>
    <w:tmpl w:val="BF8A9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D5106"/>
    <w:multiLevelType w:val="hybridMultilevel"/>
    <w:tmpl w:val="DBA613D6"/>
    <w:lvl w:ilvl="0" w:tplc="46FA37C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B050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6047E68"/>
    <w:multiLevelType w:val="hybridMultilevel"/>
    <w:tmpl w:val="70025C72"/>
    <w:lvl w:ilvl="0" w:tplc="0426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1" w15:restartNumberingAfterBreak="0">
    <w:nsid w:val="66050AD7"/>
    <w:multiLevelType w:val="hybridMultilevel"/>
    <w:tmpl w:val="5C4E90A4"/>
    <w:lvl w:ilvl="0" w:tplc="6B587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F27B4"/>
    <w:multiLevelType w:val="hybridMultilevel"/>
    <w:tmpl w:val="CF78EF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11A90"/>
    <w:multiLevelType w:val="hybridMultilevel"/>
    <w:tmpl w:val="6A7EF19A"/>
    <w:lvl w:ilvl="0" w:tplc="0426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3542D28"/>
    <w:multiLevelType w:val="hybridMultilevel"/>
    <w:tmpl w:val="32A41D84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4982AE1"/>
    <w:multiLevelType w:val="hybridMultilevel"/>
    <w:tmpl w:val="60C03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B4EC9"/>
    <w:multiLevelType w:val="hybridMultilevel"/>
    <w:tmpl w:val="20D616A0"/>
    <w:lvl w:ilvl="0" w:tplc="3AE25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2785F"/>
    <w:multiLevelType w:val="hybridMultilevel"/>
    <w:tmpl w:val="DB749520"/>
    <w:lvl w:ilvl="0" w:tplc="205A5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40"/>
  </w:num>
  <w:num w:numId="5">
    <w:abstractNumId w:val="18"/>
  </w:num>
  <w:num w:numId="6">
    <w:abstractNumId w:val="45"/>
  </w:num>
  <w:num w:numId="7">
    <w:abstractNumId w:val="42"/>
  </w:num>
  <w:num w:numId="8">
    <w:abstractNumId w:val="26"/>
  </w:num>
  <w:num w:numId="9">
    <w:abstractNumId w:val="5"/>
  </w:num>
  <w:num w:numId="10">
    <w:abstractNumId w:val="33"/>
  </w:num>
  <w:num w:numId="11">
    <w:abstractNumId w:val="15"/>
  </w:num>
  <w:num w:numId="12">
    <w:abstractNumId w:val="41"/>
  </w:num>
  <w:num w:numId="13">
    <w:abstractNumId w:val="39"/>
  </w:num>
  <w:num w:numId="14">
    <w:abstractNumId w:val="36"/>
  </w:num>
  <w:num w:numId="15">
    <w:abstractNumId w:val="6"/>
  </w:num>
  <w:num w:numId="16">
    <w:abstractNumId w:val="43"/>
  </w:num>
  <w:num w:numId="17">
    <w:abstractNumId w:val="27"/>
  </w:num>
  <w:num w:numId="18">
    <w:abstractNumId w:val="32"/>
  </w:num>
  <w:num w:numId="19">
    <w:abstractNumId w:val="30"/>
  </w:num>
  <w:num w:numId="20">
    <w:abstractNumId w:val="7"/>
  </w:num>
  <w:num w:numId="21">
    <w:abstractNumId w:val="37"/>
  </w:num>
  <w:num w:numId="22">
    <w:abstractNumId w:val="44"/>
  </w:num>
  <w:num w:numId="23">
    <w:abstractNumId w:val="12"/>
  </w:num>
  <w:num w:numId="24">
    <w:abstractNumId w:val="10"/>
  </w:num>
  <w:num w:numId="25">
    <w:abstractNumId w:val="35"/>
  </w:num>
  <w:num w:numId="26">
    <w:abstractNumId w:val="34"/>
  </w:num>
  <w:num w:numId="27">
    <w:abstractNumId w:val="38"/>
  </w:num>
  <w:num w:numId="28">
    <w:abstractNumId w:val="1"/>
  </w:num>
  <w:num w:numId="29">
    <w:abstractNumId w:val="22"/>
  </w:num>
  <w:num w:numId="30">
    <w:abstractNumId w:val="17"/>
  </w:num>
  <w:num w:numId="31">
    <w:abstractNumId w:val="9"/>
  </w:num>
  <w:num w:numId="32">
    <w:abstractNumId w:val="20"/>
  </w:num>
  <w:num w:numId="33">
    <w:abstractNumId w:val="29"/>
  </w:num>
  <w:num w:numId="34">
    <w:abstractNumId w:val="25"/>
  </w:num>
  <w:num w:numId="35">
    <w:abstractNumId w:val="23"/>
  </w:num>
  <w:num w:numId="36">
    <w:abstractNumId w:val="2"/>
  </w:num>
  <w:num w:numId="37">
    <w:abstractNumId w:val="31"/>
  </w:num>
  <w:num w:numId="38">
    <w:abstractNumId w:val="14"/>
  </w:num>
  <w:num w:numId="39">
    <w:abstractNumId w:val="13"/>
  </w:num>
  <w:num w:numId="40">
    <w:abstractNumId w:val="46"/>
  </w:num>
  <w:num w:numId="41">
    <w:abstractNumId w:val="0"/>
  </w:num>
  <w:num w:numId="42">
    <w:abstractNumId w:val="24"/>
  </w:num>
  <w:num w:numId="43">
    <w:abstractNumId w:val="4"/>
  </w:num>
  <w:num w:numId="44">
    <w:abstractNumId w:val="11"/>
  </w:num>
  <w:num w:numId="45">
    <w:abstractNumId w:val="21"/>
  </w:num>
  <w:num w:numId="46">
    <w:abstractNumId w:val="19"/>
  </w:num>
  <w:num w:numId="47">
    <w:abstractNumId w:val="47"/>
  </w:num>
  <w:num w:numId="4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8F9"/>
    <w:rsid w:val="00000038"/>
    <w:rsid w:val="00013319"/>
    <w:rsid w:val="00014023"/>
    <w:rsid w:val="00017675"/>
    <w:rsid w:val="00020C3F"/>
    <w:rsid w:val="000269F2"/>
    <w:rsid w:val="00026F9B"/>
    <w:rsid w:val="00027D6A"/>
    <w:rsid w:val="000301DB"/>
    <w:rsid w:val="00031536"/>
    <w:rsid w:val="00037846"/>
    <w:rsid w:val="000443E6"/>
    <w:rsid w:val="0004578D"/>
    <w:rsid w:val="00045810"/>
    <w:rsid w:val="000504E5"/>
    <w:rsid w:val="0005119D"/>
    <w:rsid w:val="00052BCD"/>
    <w:rsid w:val="0005410B"/>
    <w:rsid w:val="00055C95"/>
    <w:rsid w:val="000577E9"/>
    <w:rsid w:val="00061132"/>
    <w:rsid w:val="000616CF"/>
    <w:rsid w:val="00062994"/>
    <w:rsid w:val="00064435"/>
    <w:rsid w:val="00064C46"/>
    <w:rsid w:val="0006558F"/>
    <w:rsid w:val="00071703"/>
    <w:rsid w:val="00074323"/>
    <w:rsid w:val="0007548F"/>
    <w:rsid w:val="000837C9"/>
    <w:rsid w:val="00085CCB"/>
    <w:rsid w:val="0008665A"/>
    <w:rsid w:val="00087DD3"/>
    <w:rsid w:val="000945BD"/>
    <w:rsid w:val="00094C1C"/>
    <w:rsid w:val="000A3B50"/>
    <w:rsid w:val="000A5F3E"/>
    <w:rsid w:val="000A7E70"/>
    <w:rsid w:val="000B2E6D"/>
    <w:rsid w:val="000C1190"/>
    <w:rsid w:val="000C7A67"/>
    <w:rsid w:val="000D058F"/>
    <w:rsid w:val="000D0F65"/>
    <w:rsid w:val="000D1BE7"/>
    <w:rsid w:val="000D2FB9"/>
    <w:rsid w:val="000D374E"/>
    <w:rsid w:val="000D527F"/>
    <w:rsid w:val="000D65E3"/>
    <w:rsid w:val="000E5B0B"/>
    <w:rsid w:val="000E764E"/>
    <w:rsid w:val="000F051B"/>
    <w:rsid w:val="000F19C0"/>
    <w:rsid w:val="000F1EF8"/>
    <w:rsid w:val="000F3258"/>
    <w:rsid w:val="000F3523"/>
    <w:rsid w:val="000F6B19"/>
    <w:rsid w:val="000F7CB1"/>
    <w:rsid w:val="0010020B"/>
    <w:rsid w:val="00102D29"/>
    <w:rsid w:val="001032B0"/>
    <w:rsid w:val="001054C4"/>
    <w:rsid w:val="001109A6"/>
    <w:rsid w:val="00111B82"/>
    <w:rsid w:val="00116A47"/>
    <w:rsid w:val="00121AB6"/>
    <w:rsid w:val="00123393"/>
    <w:rsid w:val="00131A43"/>
    <w:rsid w:val="00135A6F"/>
    <w:rsid w:val="001361B3"/>
    <w:rsid w:val="00136945"/>
    <w:rsid w:val="00136E06"/>
    <w:rsid w:val="00136EAE"/>
    <w:rsid w:val="00142190"/>
    <w:rsid w:val="001446E3"/>
    <w:rsid w:val="0014472B"/>
    <w:rsid w:val="0014652F"/>
    <w:rsid w:val="00147519"/>
    <w:rsid w:val="001516BD"/>
    <w:rsid w:val="00152D73"/>
    <w:rsid w:val="0015355C"/>
    <w:rsid w:val="0015689B"/>
    <w:rsid w:val="001568BD"/>
    <w:rsid w:val="00156A07"/>
    <w:rsid w:val="00157A6A"/>
    <w:rsid w:val="0016095D"/>
    <w:rsid w:val="0016406D"/>
    <w:rsid w:val="0016579F"/>
    <w:rsid w:val="001705CF"/>
    <w:rsid w:val="00171480"/>
    <w:rsid w:val="00173CBE"/>
    <w:rsid w:val="00173DDD"/>
    <w:rsid w:val="001759C1"/>
    <w:rsid w:val="001767DE"/>
    <w:rsid w:val="00176B13"/>
    <w:rsid w:val="001775A6"/>
    <w:rsid w:val="0018170A"/>
    <w:rsid w:val="0018431E"/>
    <w:rsid w:val="00184EC9"/>
    <w:rsid w:val="00186137"/>
    <w:rsid w:val="00191754"/>
    <w:rsid w:val="00192C07"/>
    <w:rsid w:val="001947C2"/>
    <w:rsid w:val="001A0B50"/>
    <w:rsid w:val="001A3B4B"/>
    <w:rsid w:val="001A41F3"/>
    <w:rsid w:val="001A4A2F"/>
    <w:rsid w:val="001A6314"/>
    <w:rsid w:val="001A6490"/>
    <w:rsid w:val="001B234B"/>
    <w:rsid w:val="001B5D68"/>
    <w:rsid w:val="001C46C5"/>
    <w:rsid w:val="001C4CC7"/>
    <w:rsid w:val="001C5E78"/>
    <w:rsid w:val="001C6013"/>
    <w:rsid w:val="001D01EF"/>
    <w:rsid w:val="001D1A07"/>
    <w:rsid w:val="001D3D2D"/>
    <w:rsid w:val="001D4748"/>
    <w:rsid w:val="001E6971"/>
    <w:rsid w:val="001F0466"/>
    <w:rsid w:val="001F3B89"/>
    <w:rsid w:val="001F5C1C"/>
    <w:rsid w:val="001F7DBE"/>
    <w:rsid w:val="0020193B"/>
    <w:rsid w:val="00202E5B"/>
    <w:rsid w:val="00203C59"/>
    <w:rsid w:val="002049E8"/>
    <w:rsid w:val="0020722E"/>
    <w:rsid w:val="00212EAE"/>
    <w:rsid w:val="00213F34"/>
    <w:rsid w:val="002154CB"/>
    <w:rsid w:val="002160C9"/>
    <w:rsid w:val="0022164A"/>
    <w:rsid w:val="002224C2"/>
    <w:rsid w:val="00222871"/>
    <w:rsid w:val="002252EA"/>
    <w:rsid w:val="00232C1F"/>
    <w:rsid w:val="00240136"/>
    <w:rsid w:val="0024097B"/>
    <w:rsid w:val="00240A23"/>
    <w:rsid w:val="00241BD9"/>
    <w:rsid w:val="00242663"/>
    <w:rsid w:val="00245166"/>
    <w:rsid w:val="002452FB"/>
    <w:rsid w:val="0025001F"/>
    <w:rsid w:val="00250C62"/>
    <w:rsid w:val="00254DF5"/>
    <w:rsid w:val="00256EB9"/>
    <w:rsid w:val="00256F6A"/>
    <w:rsid w:val="00261A7E"/>
    <w:rsid w:val="00266F08"/>
    <w:rsid w:val="00271B68"/>
    <w:rsid w:val="00273652"/>
    <w:rsid w:val="0028188B"/>
    <w:rsid w:val="00281F4C"/>
    <w:rsid w:val="002827E2"/>
    <w:rsid w:val="00282872"/>
    <w:rsid w:val="00290C7B"/>
    <w:rsid w:val="00291551"/>
    <w:rsid w:val="00291AF9"/>
    <w:rsid w:val="00291EBD"/>
    <w:rsid w:val="002959E2"/>
    <w:rsid w:val="002960BA"/>
    <w:rsid w:val="002A1B10"/>
    <w:rsid w:val="002A38ED"/>
    <w:rsid w:val="002B1E18"/>
    <w:rsid w:val="002B2206"/>
    <w:rsid w:val="002B2572"/>
    <w:rsid w:val="002C2234"/>
    <w:rsid w:val="002C43C5"/>
    <w:rsid w:val="002C6CE1"/>
    <w:rsid w:val="002D08B5"/>
    <w:rsid w:val="002D1ADB"/>
    <w:rsid w:val="002D4DE3"/>
    <w:rsid w:val="002D5F36"/>
    <w:rsid w:val="002D6203"/>
    <w:rsid w:val="002D6EE3"/>
    <w:rsid w:val="002D6F29"/>
    <w:rsid w:val="002D7710"/>
    <w:rsid w:val="002E243A"/>
    <w:rsid w:val="002E7F50"/>
    <w:rsid w:val="002F1FD1"/>
    <w:rsid w:val="002F3BE5"/>
    <w:rsid w:val="002F7E24"/>
    <w:rsid w:val="00301D4E"/>
    <w:rsid w:val="0030256C"/>
    <w:rsid w:val="00305E83"/>
    <w:rsid w:val="00310F8A"/>
    <w:rsid w:val="003112AB"/>
    <w:rsid w:val="003117E4"/>
    <w:rsid w:val="00312C80"/>
    <w:rsid w:val="00321C63"/>
    <w:rsid w:val="00321E29"/>
    <w:rsid w:val="003220DF"/>
    <w:rsid w:val="00323866"/>
    <w:rsid w:val="00324729"/>
    <w:rsid w:val="00330959"/>
    <w:rsid w:val="00331652"/>
    <w:rsid w:val="0033172E"/>
    <w:rsid w:val="003323AF"/>
    <w:rsid w:val="003339C0"/>
    <w:rsid w:val="00337602"/>
    <w:rsid w:val="00341AE5"/>
    <w:rsid w:val="003445CB"/>
    <w:rsid w:val="00350342"/>
    <w:rsid w:val="0035590D"/>
    <w:rsid w:val="00357CBF"/>
    <w:rsid w:val="00365D31"/>
    <w:rsid w:val="00366CEC"/>
    <w:rsid w:val="0036761F"/>
    <w:rsid w:val="00373992"/>
    <w:rsid w:val="0037696C"/>
    <w:rsid w:val="0038070E"/>
    <w:rsid w:val="00380FEB"/>
    <w:rsid w:val="0038193B"/>
    <w:rsid w:val="003847CB"/>
    <w:rsid w:val="00384B3C"/>
    <w:rsid w:val="00384DF9"/>
    <w:rsid w:val="00385E32"/>
    <w:rsid w:val="003878F4"/>
    <w:rsid w:val="00387D77"/>
    <w:rsid w:val="00390730"/>
    <w:rsid w:val="00392DA2"/>
    <w:rsid w:val="00395B45"/>
    <w:rsid w:val="0039766C"/>
    <w:rsid w:val="003A0ED4"/>
    <w:rsid w:val="003A0FC8"/>
    <w:rsid w:val="003A34A6"/>
    <w:rsid w:val="003A42B8"/>
    <w:rsid w:val="003B10B5"/>
    <w:rsid w:val="003B6791"/>
    <w:rsid w:val="003C6A70"/>
    <w:rsid w:val="003C6A82"/>
    <w:rsid w:val="003C7FD7"/>
    <w:rsid w:val="003D3EB5"/>
    <w:rsid w:val="003E20BB"/>
    <w:rsid w:val="003E50C7"/>
    <w:rsid w:val="003E6A9A"/>
    <w:rsid w:val="003F4EC8"/>
    <w:rsid w:val="003F5EAA"/>
    <w:rsid w:val="003F5FEA"/>
    <w:rsid w:val="003F612F"/>
    <w:rsid w:val="003F76A2"/>
    <w:rsid w:val="00401EE4"/>
    <w:rsid w:val="004033F6"/>
    <w:rsid w:val="00406ADF"/>
    <w:rsid w:val="00412430"/>
    <w:rsid w:val="00413789"/>
    <w:rsid w:val="00413CE4"/>
    <w:rsid w:val="00414C84"/>
    <w:rsid w:val="00416862"/>
    <w:rsid w:val="00416CD2"/>
    <w:rsid w:val="004212A0"/>
    <w:rsid w:val="0042213A"/>
    <w:rsid w:val="00422A2C"/>
    <w:rsid w:val="004233FF"/>
    <w:rsid w:val="00423694"/>
    <w:rsid w:val="00427249"/>
    <w:rsid w:val="00434E16"/>
    <w:rsid w:val="0043533F"/>
    <w:rsid w:val="00441003"/>
    <w:rsid w:val="00441DE2"/>
    <w:rsid w:val="004436EE"/>
    <w:rsid w:val="00443B95"/>
    <w:rsid w:val="004444ED"/>
    <w:rsid w:val="00444DBA"/>
    <w:rsid w:val="00447CE0"/>
    <w:rsid w:val="00454109"/>
    <w:rsid w:val="00454ED7"/>
    <w:rsid w:val="00455289"/>
    <w:rsid w:val="004573FF"/>
    <w:rsid w:val="004643A2"/>
    <w:rsid w:val="00464B2B"/>
    <w:rsid w:val="004823ED"/>
    <w:rsid w:val="00483563"/>
    <w:rsid w:val="00492817"/>
    <w:rsid w:val="00492DEA"/>
    <w:rsid w:val="004937D7"/>
    <w:rsid w:val="004A2755"/>
    <w:rsid w:val="004A3D88"/>
    <w:rsid w:val="004A76C5"/>
    <w:rsid w:val="004B1DA1"/>
    <w:rsid w:val="004B3AB5"/>
    <w:rsid w:val="004B52F9"/>
    <w:rsid w:val="004C06F5"/>
    <w:rsid w:val="004C16A3"/>
    <w:rsid w:val="004C4AEE"/>
    <w:rsid w:val="004C6978"/>
    <w:rsid w:val="004D14CD"/>
    <w:rsid w:val="004D761C"/>
    <w:rsid w:val="004E00E8"/>
    <w:rsid w:val="004E0A3C"/>
    <w:rsid w:val="004E0F41"/>
    <w:rsid w:val="004E13B5"/>
    <w:rsid w:val="004E1F0D"/>
    <w:rsid w:val="004E201B"/>
    <w:rsid w:val="004E343A"/>
    <w:rsid w:val="004E4380"/>
    <w:rsid w:val="004F2F61"/>
    <w:rsid w:val="004F3B31"/>
    <w:rsid w:val="004F5109"/>
    <w:rsid w:val="004F7FCB"/>
    <w:rsid w:val="00504AD0"/>
    <w:rsid w:val="0051092C"/>
    <w:rsid w:val="00514EC3"/>
    <w:rsid w:val="00515125"/>
    <w:rsid w:val="00515EC6"/>
    <w:rsid w:val="00520875"/>
    <w:rsid w:val="0052188A"/>
    <w:rsid w:val="00521B0F"/>
    <w:rsid w:val="005220FD"/>
    <w:rsid w:val="00524A03"/>
    <w:rsid w:val="005259CC"/>
    <w:rsid w:val="00534991"/>
    <w:rsid w:val="00534D07"/>
    <w:rsid w:val="005413FE"/>
    <w:rsid w:val="0054492E"/>
    <w:rsid w:val="00544A5A"/>
    <w:rsid w:val="00546288"/>
    <w:rsid w:val="00547EAE"/>
    <w:rsid w:val="00552E7D"/>
    <w:rsid w:val="00553043"/>
    <w:rsid w:val="00554E8E"/>
    <w:rsid w:val="00555576"/>
    <w:rsid w:val="005564C6"/>
    <w:rsid w:val="005579B0"/>
    <w:rsid w:val="0056059D"/>
    <w:rsid w:val="005616D2"/>
    <w:rsid w:val="005625B9"/>
    <w:rsid w:val="005673F3"/>
    <w:rsid w:val="00567950"/>
    <w:rsid w:val="0057137D"/>
    <w:rsid w:val="00575462"/>
    <w:rsid w:val="00577A7C"/>
    <w:rsid w:val="00582ED3"/>
    <w:rsid w:val="00583A4F"/>
    <w:rsid w:val="00593C8F"/>
    <w:rsid w:val="005968EC"/>
    <w:rsid w:val="00596C39"/>
    <w:rsid w:val="0059797F"/>
    <w:rsid w:val="00597A31"/>
    <w:rsid w:val="005A2349"/>
    <w:rsid w:val="005A34E5"/>
    <w:rsid w:val="005A4403"/>
    <w:rsid w:val="005A5D6A"/>
    <w:rsid w:val="005A640F"/>
    <w:rsid w:val="005A720B"/>
    <w:rsid w:val="005A74F0"/>
    <w:rsid w:val="005B02E5"/>
    <w:rsid w:val="005B295A"/>
    <w:rsid w:val="005B60B9"/>
    <w:rsid w:val="005B6248"/>
    <w:rsid w:val="005B7A4A"/>
    <w:rsid w:val="005C0928"/>
    <w:rsid w:val="005C1159"/>
    <w:rsid w:val="005C2327"/>
    <w:rsid w:val="005C5469"/>
    <w:rsid w:val="005D69F4"/>
    <w:rsid w:val="005D73E1"/>
    <w:rsid w:val="005D768C"/>
    <w:rsid w:val="005D76FA"/>
    <w:rsid w:val="005E709E"/>
    <w:rsid w:val="005E7844"/>
    <w:rsid w:val="005F010C"/>
    <w:rsid w:val="005F68BD"/>
    <w:rsid w:val="006000C0"/>
    <w:rsid w:val="00604938"/>
    <w:rsid w:val="00605781"/>
    <w:rsid w:val="00606C4E"/>
    <w:rsid w:val="00606C8E"/>
    <w:rsid w:val="006127DD"/>
    <w:rsid w:val="00614181"/>
    <w:rsid w:val="00614CF1"/>
    <w:rsid w:val="00614E36"/>
    <w:rsid w:val="00623082"/>
    <w:rsid w:val="00625029"/>
    <w:rsid w:val="0062624B"/>
    <w:rsid w:val="00632B2B"/>
    <w:rsid w:val="006363BB"/>
    <w:rsid w:val="00637553"/>
    <w:rsid w:val="006400AF"/>
    <w:rsid w:val="00640409"/>
    <w:rsid w:val="00645118"/>
    <w:rsid w:val="00646165"/>
    <w:rsid w:val="00647A22"/>
    <w:rsid w:val="006507A2"/>
    <w:rsid w:val="00653BA7"/>
    <w:rsid w:val="00656F5E"/>
    <w:rsid w:val="006578BC"/>
    <w:rsid w:val="00662BE1"/>
    <w:rsid w:val="00664021"/>
    <w:rsid w:val="00666F4D"/>
    <w:rsid w:val="00671CAE"/>
    <w:rsid w:val="00672A8E"/>
    <w:rsid w:val="00674339"/>
    <w:rsid w:val="006761DE"/>
    <w:rsid w:val="0068359B"/>
    <w:rsid w:val="0069371E"/>
    <w:rsid w:val="00694638"/>
    <w:rsid w:val="0069586C"/>
    <w:rsid w:val="006964E0"/>
    <w:rsid w:val="006974AD"/>
    <w:rsid w:val="00697700"/>
    <w:rsid w:val="006A1601"/>
    <w:rsid w:val="006A21C9"/>
    <w:rsid w:val="006A35FF"/>
    <w:rsid w:val="006A3A41"/>
    <w:rsid w:val="006A44EE"/>
    <w:rsid w:val="006A54BB"/>
    <w:rsid w:val="006A6B5F"/>
    <w:rsid w:val="006B044B"/>
    <w:rsid w:val="006B18F9"/>
    <w:rsid w:val="006B5853"/>
    <w:rsid w:val="006B72E7"/>
    <w:rsid w:val="006C082E"/>
    <w:rsid w:val="006C3469"/>
    <w:rsid w:val="006C392C"/>
    <w:rsid w:val="006C6FED"/>
    <w:rsid w:val="006C72C0"/>
    <w:rsid w:val="006D1638"/>
    <w:rsid w:val="006D2EF0"/>
    <w:rsid w:val="006D3083"/>
    <w:rsid w:val="006D33E7"/>
    <w:rsid w:val="006D4D15"/>
    <w:rsid w:val="006D6AA6"/>
    <w:rsid w:val="006D6E86"/>
    <w:rsid w:val="006E1CE5"/>
    <w:rsid w:val="006E234B"/>
    <w:rsid w:val="006E503E"/>
    <w:rsid w:val="006F66AC"/>
    <w:rsid w:val="00700DF4"/>
    <w:rsid w:val="00700FEE"/>
    <w:rsid w:val="00704B92"/>
    <w:rsid w:val="00710CBC"/>
    <w:rsid w:val="0071618B"/>
    <w:rsid w:val="007170C7"/>
    <w:rsid w:val="00720251"/>
    <w:rsid w:val="00722C52"/>
    <w:rsid w:val="00724437"/>
    <w:rsid w:val="00735A43"/>
    <w:rsid w:val="00735C17"/>
    <w:rsid w:val="00737DF1"/>
    <w:rsid w:val="00741B58"/>
    <w:rsid w:val="00746E39"/>
    <w:rsid w:val="00747B71"/>
    <w:rsid w:val="00750735"/>
    <w:rsid w:val="00756FF2"/>
    <w:rsid w:val="007572B3"/>
    <w:rsid w:val="00765545"/>
    <w:rsid w:val="00767855"/>
    <w:rsid w:val="00767F9D"/>
    <w:rsid w:val="00770E7F"/>
    <w:rsid w:val="0077615C"/>
    <w:rsid w:val="007772C6"/>
    <w:rsid w:val="00777A0D"/>
    <w:rsid w:val="00777B59"/>
    <w:rsid w:val="007825BC"/>
    <w:rsid w:val="00785DFA"/>
    <w:rsid w:val="00790E6E"/>
    <w:rsid w:val="00791009"/>
    <w:rsid w:val="00791353"/>
    <w:rsid w:val="00792432"/>
    <w:rsid w:val="00793564"/>
    <w:rsid w:val="00796A5F"/>
    <w:rsid w:val="0079712C"/>
    <w:rsid w:val="007A22B6"/>
    <w:rsid w:val="007A4134"/>
    <w:rsid w:val="007A4922"/>
    <w:rsid w:val="007A5596"/>
    <w:rsid w:val="007C0B4F"/>
    <w:rsid w:val="007C603A"/>
    <w:rsid w:val="007C61CF"/>
    <w:rsid w:val="007D045D"/>
    <w:rsid w:val="007D1984"/>
    <w:rsid w:val="007D1C90"/>
    <w:rsid w:val="007D1C95"/>
    <w:rsid w:val="007D4422"/>
    <w:rsid w:val="007D5D4D"/>
    <w:rsid w:val="007E26FB"/>
    <w:rsid w:val="007E3436"/>
    <w:rsid w:val="007E3970"/>
    <w:rsid w:val="007E66F0"/>
    <w:rsid w:val="007E7970"/>
    <w:rsid w:val="007F29AA"/>
    <w:rsid w:val="007F33B7"/>
    <w:rsid w:val="007F3BF0"/>
    <w:rsid w:val="007F4600"/>
    <w:rsid w:val="00800663"/>
    <w:rsid w:val="00800AA0"/>
    <w:rsid w:val="008013BD"/>
    <w:rsid w:val="00801C97"/>
    <w:rsid w:val="0080286A"/>
    <w:rsid w:val="00804328"/>
    <w:rsid w:val="00810E21"/>
    <w:rsid w:val="00813552"/>
    <w:rsid w:val="008216E9"/>
    <w:rsid w:val="0082442A"/>
    <w:rsid w:val="00831062"/>
    <w:rsid w:val="00831968"/>
    <w:rsid w:val="00831A8F"/>
    <w:rsid w:val="00836A88"/>
    <w:rsid w:val="00840751"/>
    <w:rsid w:val="00841DCE"/>
    <w:rsid w:val="00842B02"/>
    <w:rsid w:val="00843E72"/>
    <w:rsid w:val="00861B06"/>
    <w:rsid w:val="00862487"/>
    <w:rsid w:val="008651E9"/>
    <w:rsid w:val="0086542B"/>
    <w:rsid w:val="00865BBE"/>
    <w:rsid w:val="00865D7B"/>
    <w:rsid w:val="00871D56"/>
    <w:rsid w:val="0087290D"/>
    <w:rsid w:val="00873CDA"/>
    <w:rsid w:val="00873E16"/>
    <w:rsid w:val="00880518"/>
    <w:rsid w:val="008817C1"/>
    <w:rsid w:val="00883ECB"/>
    <w:rsid w:val="0088433E"/>
    <w:rsid w:val="00890EA5"/>
    <w:rsid w:val="008A0B97"/>
    <w:rsid w:val="008A1E5C"/>
    <w:rsid w:val="008A2283"/>
    <w:rsid w:val="008A3DBE"/>
    <w:rsid w:val="008A68BB"/>
    <w:rsid w:val="008A6F5F"/>
    <w:rsid w:val="008A77F9"/>
    <w:rsid w:val="008B088E"/>
    <w:rsid w:val="008B2F52"/>
    <w:rsid w:val="008B638B"/>
    <w:rsid w:val="008C049A"/>
    <w:rsid w:val="008C1F66"/>
    <w:rsid w:val="008C2A8D"/>
    <w:rsid w:val="008C5D04"/>
    <w:rsid w:val="008C6103"/>
    <w:rsid w:val="008C646C"/>
    <w:rsid w:val="008D03A8"/>
    <w:rsid w:val="008D2D8A"/>
    <w:rsid w:val="008D3CE8"/>
    <w:rsid w:val="008E3E0C"/>
    <w:rsid w:val="008E4E50"/>
    <w:rsid w:val="008E5240"/>
    <w:rsid w:val="008E7A85"/>
    <w:rsid w:val="008F0010"/>
    <w:rsid w:val="008F0351"/>
    <w:rsid w:val="008F4984"/>
    <w:rsid w:val="008F6BDA"/>
    <w:rsid w:val="008F72A4"/>
    <w:rsid w:val="008F79DD"/>
    <w:rsid w:val="00902FC6"/>
    <w:rsid w:val="00904702"/>
    <w:rsid w:val="009072B5"/>
    <w:rsid w:val="00907721"/>
    <w:rsid w:val="009117D1"/>
    <w:rsid w:val="00912B5F"/>
    <w:rsid w:val="009203B8"/>
    <w:rsid w:val="009204AF"/>
    <w:rsid w:val="00923891"/>
    <w:rsid w:val="00925AF6"/>
    <w:rsid w:val="00933680"/>
    <w:rsid w:val="00933FBD"/>
    <w:rsid w:val="0094491E"/>
    <w:rsid w:val="0094616B"/>
    <w:rsid w:val="00946433"/>
    <w:rsid w:val="00947278"/>
    <w:rsid w:val="0094757A"/>
    <w:rsid w:val="00952BB8"/>
    <w:rsid w:val="009534A4"/>
    <w:rsid w:val="0095443F"/>
    <w:rsid w:val="009552D4"/>
    <w:rsid w:val="009565A4"/>
    <w:rsid w:val="009605DA"/>
    <w:rsid w:val="00972248"/>
    <w:rsid w:val="00975661"/>
    <w:rsid w:val="00975981"/>
    <w:rsid w:val="00976239"/>
    <w:rsid w:val="00980F86"/>
    <w:rsid w:val="0098385C"/>
    <w:rsid w:val="00984EB9"/>
    <w:rsid w:val="009852E0"/>
    <w:rsid w:val="00985302"/>
    <w:rsid w:val="00985ECD"/>
    <w:rsid w:val="0099029C"/>
    <w:rsid w:val="009914F4"/>
    <w:rsid w:val="009945B5"/>
    <w:rsid w:val="0099593D"/>
    <w:rsid w:val="009A2169"/>
    <w:rsid w:val="009A68AB"/>
    <w:rsid w:val="009B2FF8"/>
    <w:rsid w:val="009B58D0"/>
    <w:rsid w:val="009C0016"/>
    <w:rsid w:val="009C2FAE"/>
    <w:rsid w:val="009C5B49"/>
    <w:rsid w:val="009D1268"/>
    <w:rsid w:val="009D29FA"/>
    <w:rsid w:val="009E0262"/>
    <w:rsid w:val="009F017E"/>
    <w:rsid w:val="009F3D80"/>
    <w:rsid w:val="009F6062"/>
    <w:rsid w:val="009F6AE4"/>
    <w:rsid w:val="00A00A2B"/>
    <w:rsid w:val="00A0103E"/>
    <w:rsid w:val="00A0575C"/>
    <w:rsid w:val="00A05E55"/>
    <w:rsid w:val="00A06CC7"/>
    <w:rsid w:val="00A073D3"/>
    <w:rsid w:val="00A1395D"/>
    <w:rsid w:val="00A1487D"/>
    <w:rsid w:val="00A150B9"/>
    <w:rsid w:val="00A152EC"/>
    <w:rsid w:val="00A15902"/>
    <w:rsid w:val="00A16972"/>
    <w:rsid w:val="00A246F8"/>
    <w:rsid w:val="00A319E7"/>
    <w:rsid w:val="00A31AB2"/>
    <w:rsid w:val="00A3230E"/>
    <w:rsid w:val="00A33F0B"/>
    <w:rsid w:val="00A36AAB"/>
    <w:rsid w:val="00A4206E"/>
    <w:rsid w:val="00A4240B"/>
    <w:rsid w:val="00A42718"/>
    <w:rsid w:val="00A509EC"/>
    <w:rsid w:val="00A51A2E"/>
    <w:rsid w:val="00A573E4"/>
    <w:rsid w:val="00A65083"/>
    <w:rsid w:val="00A67F70"/>
    <w:rsid w:val="00A7235D"/>
    <w:rsid w:val="00A725DC"/>
    <w:rsid w:val="00A72AC4"/>
    <w:rsid w:val="00A72C7D"/>
    <w:rsid w:val="00A75F73"/>
    <w:rsid w:val="00A770AA"/>
    <w:rsid w:val="00A82C41"/>
    <w:rsid w:val="00A84F39"/>
    <w:rsid w:val="00A902F2"/>
    <w:rsid w:val="00A93311"/>
    <w:rsid w:val="00A94672"/>
    <w:rsid w:val="00A96517"/>
    <w:rsid w:val="00AA1469"/>
    <w:rsid w:val="00AA2DA8"/>
    <w:rsid w:val="00AA6838"/>
    <w:rsid w:val="00AA73D6"/>
    <w:rsid w:val="00AB2E6B"/>
    <w:rsid w:val="00AB4960"/>
    <w:rsid w:val="00AC12C5"/>
    <w:rsid w:val="00AC20C0"/>
    <w:rsid w:val="00AC32C2"/>
    <w:rsid w:val="00AC75F0"/>
    <w:rsid w:val="00AD208E"/>
    <w:rsid w:val="00AD353E"/>
    <w:rsid w:val="00AE1868"/>
    <w:rsid w:val="00AE42DF"/>
    <w:rsid w:val="00AE4434"/>
    <w:rsid w:val="00AE6430"/>
    <w:rsid w:val="00AE65A5"/>
    <w:rsid w:val="00AF201A"/>
    <w:rsid w:val="00AF20C4"/>
    <w:rsid w:val="00AF281D"/>
    <w:rsid w:val="00AF4902"/>
    <w:rsid w:val="00AF4A7C"/>
    <w:rsid w:val="00AF5340"/>
    <w:rsid w:val="00B011C7"/>
    <w:rsid w:val="00B02BAF"/>
    <w:rsid w:val="00B03AC3"/>
    <w:rsid w:val="00B06D92"/>
    <w:rsid w:val="00B12217"/>
    <w:rsid w:val="00B175CA"/>
    <w:rsid w:val="00B20B3B"/>
    <w:rsid w:val="00B21161"/>
    <w:rsid w:val="00B21CF1"/>
    <w:rsid w:val="00B22A7A"/>
    <w:rsid w:val="00B2397C"/>
    <w:rsid w:val="00B303A5"/>
    <w:rsid w:val="00B30BFD"/>
    <w:rsid w:val="00B31FD7"/>
    <w:rsid w:val="00B3267E"/>
    <w:rsid w:val="00B33CE5"/>
    <w:rsid w:val="00B40FAE"/>
    <w:rsid w:val="00B470DF"/>
    <w:rsid w:val="00B50D2D"/>
    <w:rsid w:val="00B5157F"/>
    <w:rsid w:val="00B520B7"/>
    <w:rsid w:val="00B55639"/>
    <w:rsid w:val="00B562A6"/>
    <w:rsid w:val="00B5787A"/>
    <w:rsid w:val="00B6178F"/>
    <w:rsid w:val="00B657B5"/>
    <w:rsid w:val="00B7031B"/>
    <w:rsid w:val="00B7078B"/>
    <w:rsid w:val="00B70EEC"/>
    <w:rsid w:val="00B71103"/>
    <w:rsid w:val="00B71D0E"/>
    <w:rsid w:val="00B7345D"/>
    <w:rsid w:val="00B741D3"/>
    <w:rsid w:val="00B74548"/>
    <w:rsid w:val="00B75B7B"/>
    <w:rsid w:val="00B775CF"/>
    <w:rsid w:val="00B81FC0"/>
    <w:rsid w:val="00B849D0"/>
    <w:rsid w:val="00B911F9"/>
    <w:rsid w:val="00B92156"/>
    <w:rsid w:val="00BA0922"/>
    <w:rsid w:val="00BA344A"/>
    <w:rsid w:val="00BA7B9D"/>
    <w:rsid w:val="00BB29EF"/>
    <w:rsid w:val="00BB31C8"/>
    <w:rsid w:val="00BC2975"/>
    <w:rsid w:val="00BC61D9"/>
    <w:rsid w:val="00BD206E"/>
    <w:rsid w:val="00BD3213"/>
    <w:rsid w:val="00BD46EE"/>
    <w:rsid w:val="00BD4ED3"/>
    <w:rsid w:val="00BE24E7"/>
    <w:rsid w:val="00BE2CD6"/>
    <w:rsid w:val="00BE4AFA"/>
    <w:rsid w:val="00BE523C"/>
    <w:rsid w:val="00BE75AB"/>
    <w:rsid w:val="00BF16F5"/>
    <w:rsid w:val="00BF19E6"/>
    <w:rsid w:val="00BF412D"/>
    <w:rsid w:val="00BF5385"/>
    <w:rsid w:val="00BF5DA2"/>
    <w:rsid w:val="00C002E9"/>
    <w:rsid w:val="00C0100F"/>
    <w:rsid w:val="00C012F4"/>
    <w:rsid w:val="00C02E44"/>
    <w:rsid w:val="00C039BD"/>
    <w:rsid w:val="00C06D3B"/>
    <w:rsid w:val="00C11D13"/>
    <w:rsid w:val="00C16F3B"/>
    <w:rsid w:val="00C2053C"/>
    <w:rsid w:val="00C23D52"/>
    <w:rsid w:val="00C273B1"/>
    <w:rsid w:val="00C3109E"/>
    <w:rsid w:val="00C35546"/>
    <w:rsid w:val="00C3626E"/>
    <w:rsid w:val="00C40E26"/>
    <w:rsid w:val="00C42CE4"/>
    <w:rsid w:val="00C44835"/>
    <w:rsid w:val="00C4521D"/>
    <w:rsid w:val="00C46A75"/>
    <w:rsid w:val="00C50701"/>
    <w:rsid w:val="00C50C96"/>
    <w:rsid w:val="00C50E5B"/>
    <w:rsid w:val="00C54E2D"/>
    <w:rsid w:val="00C6231A"/>
    <w:rsid w:val="00C716FC"/>
    <w:rsid w:val="00C72CEF"/>
    <w:rsid w:val="00C74515"/>
    <w:rsid w:val="00C760DB"/>
    <w:rsid w:val="00C804E1"/>
    <w:rsid w:val="00C80AC6"/>
    <w:rsid w:val="00C80DF1"/>
    <w:rsid w:val="00C84FF3"/>
    <w:rsid w:val="00C93321"/>
    <w:rsid w:val="00C933E8"/>
    <w:rsid w:val="00C9363B"/>
    <w:rsid w:val="00C959D7"/>
    <w:rsid w:val="00CA06EF"/>
    <w:rsid w:val="00CA2400"/>
    <w:rsid w:val="00CA4504"/>
    <w:rsid w:val="00CA7FF8"/>
    <w:rsid w:val="00CB1042"/>
    <w:rsid w:val="00CB23E7"/>
    <w:rsid w:val="00CB46E3"/>
    <w:rsid w:val="00CB4F00"/>
    <w:rsid w:val="00CB7B37"/>
    <w:rsid w:val="00CC0FE5"/>
    <w:rsid w:val="00CC1037"/>
    <w:rsid w:val="00CC48CD"/>
    <w:rsid w:val="00CC7873"/>
    <w:rsid w:val="00CC7E47"/>
    <w:rsid w:val="00CD339C"/>
    <w:rsid w:val="00CD38BC"/>
    <w:rsid w:val="00CD425E"/>
    <w:rsid w:val="00CD6B5F"/>
    <w:rsid w:val="00CE002A"/>
    <w:rsid w:val="00CE0F46"/>
    <w:rsid w:val="00CE15A6"/>
    <w:rsid w:val="00CE1892"/>
    <w:rsid w:val="00CE2F22"/>
    <w:rsid w:val="00CE58E8"/>
    <w:rsid w:val="00CE6CAA"/>
    <w:rsid w:val="00CF0174"/>
    <w:rsid w:val="00CF1C7E"/>
    <w:rsid w:val="00CF3E27"/>
    <w:rsid w:val="00CF41ED"/>
    <w:rsid w:val="00CF43CF"/>
    <w:rsid w:val="00CF651D"/>
    <w:rsid w:val="00CF666E"/>
    <w:rsid w:val="00CF7AFA"/>
    <w:rsid w:val="00D02B79"/>
    <w:rsid w:val="00D0352D"/>
    <w:rsid w:val="00D0450C"/>
    <w:rsid w:val="00D04720"/>
    <w:rsid w:val="00D05941"/>
    <w:rsid w:val="00D06E7C"/>
    <w:rsid w:val="00D07380"/>
    <w:rsid w:val="00D104E4"/>
    <w:rsid w:val="00D10D18"/>
    <w:rsid w:val="00D11522"/>
    <w:rsid w:val="00D155D2"/>
    <w:rsid w:val="00D172AC"/>
    <w:rsid w:val="00D1778D"/>
    <w:rsid w:val="00D24D51"/>
    <w:rsid w:val="00D25B3A"/>
    <w:rsid w:val="00D31B11"/>
    <w:rsid w:val="00D40601"/>
    <w:rsid w:val="00D4170D"/>
    <w:rsid w:val="00D419CC"/>
    <w:rsid w:val="00D426E2"/>
    <w:rsid w:val="00D508B9"/>
    <w:rsid w:val="00D50AFD"/>
    <w:rsid w:val="00D53622"/>
    <w:rsid w:val="00D53691"/>
    <w:rsid w:val="00D53A05"/>
    <w:rsid w:val="00D53C55"/>
    <w:rsid w:val="00D55915"/>
    <w:rsid w:val="00D55969"/>
    <w:rsid w:val="00D56448"/>
    <w:rsid w:val="00D613B5"/>
    <w:rsid w:val="00D66759"/>
    <w:rsid w:val="00D67A37"/>
    <w:rsid w:val="00D70F6B"/>
    <w:rsid w:val="00D726FE"/>
    <w:rsid w:val="00D74FAE"/>
    <w:rsid w:val="00D75D3F"/>
    <w:rsid w:val="00D75F26"/>
    <w:rsid w:val="00D7633E"/>
    <w:rsid w:val="00D8076C"/>
    <w:rsid w:val="00D827FA"/>
    <w:rsid w:val="00D91BA5"/>
    <w:rsid w:val="00D95C7D"/>
    <w:rsid w:val="00D9793F"/>
    <w:rsid w:val="00DA069F"/>
    <w:rsid w:val="00DA26CA"/>
    <w:rsid w:val="00DA5959"/>
    <w:rsid w:val="00DA60AA"/>
    <w:rsid w:val="00DA68A0"/>
    <w:rsid w:val="00DB1496"/>
    <w:rsid w:val="00DB1759"/>
    <w:rsid w:val="00DB6F75"/>
    <w:rsid w:val="00DB713E"/>
    <w:rsid w:val="00DB758B"/>
    <w:rsid w:val="00DC5C2B"/>
    <w:rsid w:val="00DC6AD0"/>
    <w:rsid w:val="00DD06FC"/>
    <w:rsid w:val="00DD0D8A"/>
    <w:rsid w:val="00DD238E"/>
    <w:rsid w:val="00DD3C24"/>
    <w:rsid w:val="00DD4322"/>
    <w:rsid w:val="00DD452F"/>
    <w:rsid w:val="00DD68D6"/>
    <w:rsid w:val="00DE05C3"/>
    <w:rsid w:val="00DE1973"/>
    <w:rsid w:val="00DE7DE8"/>
    <w:rsid w:val="00DF02AC"/>
    <w:rsid w:val="00DF1968"/>
    <w:rsid w:val="00DF424C"/>
    <w:rsid w:val="00DF7B38"/>
    <w:rsid w:val="00E03C48"/>
    <w:rsid w:val="00E04A40"/>
    <w:rsid w:val="00E05302"/>
    <w:rsid w:val="00E076A5"/>
    <w:rsid w:val="00E10522"/>
    <w:rsid w:val="00E12F7C"/>
    <w:rsid w:val="00E13669"/>
    <w:rsid w:val="00E15078"/>
    <w:rsid w:val="00E15B57"/>
    <w:rsid w:val="00E15F17"/>
    <w:rsid w:val="00E17888"/>
    <w:rsid w:val="00E17F1A"/>
    <w:rsid w:val="00E2135D"/>
    <w:rsid w:val="00E22C81"/>
    <w:rsid w:val="00E2325A"/>
    <w:rsid w:val="00E23D29"/>
    <w:rsid w:val="00E27F70"/>
    <w:rsid w:val="00E35F24"/>
    <w:rsid w:val="00E36F4A"/>
    <w:rsid w:val="00E40558"/>
    <w:rsid w:val="00E408CB"/>
    <w:rsid w:val="00E43CFF"/>
    <w:rsid w:val="00E5747A"/>
    <w:rsid w:val="00E57D5B"/>
    <w:rsid w:val="00E57EE8"/>
    <w:rsid w:val="00E60BA0"/>
    <w:rsid w:val="00E63EE9"/>
    <w:rsid w:val="00E65E33"/>
    <w:rsid w:val="00E67624"/>
    <w:rsid w:val="00E73205"/>
    <w:rsid w:val="00E77872"/>
    <w:rsid w:val="00E80444"/>
    <w:rsid w:val="00E83254"/>
    <w:rsid w:val="00E83283"/>
    <w:rsid w:val="00E84812"/>
    <w:rsid w:val="00E91407"/>
    <w:rsid w:val="00E92E1A"/>
    <w:rsid w:val="00E9364D"/>
    <w:rsid w:val="00E9617C"/>
    <w:rsid w:val="00EA3046"/>
    <w:rsid w:val="00EA3140"/>
    <w:rsid w:val="00EA3408"/>
    <w:rsid w:val="00EA4CDB"/>
    <w:rsid w:val="00EB1191"/>
    <w:rsid w:val="00EB29B9"/>
    <w:rsid w:val="00EB3014"/>
    <w:rsid w:val="00EB664E"/>
    <w:rsid w:val="00EB792E"/>
    <w:rsid w:val="00EC2617"/>
    <w:rsid w:val="00EC2CCA"/>
    <w:rsid w:val="00EC483A"/>
    <w:rsid w:val="00EC4DCF"/>
    <w:rsid w:val="00EC506D"/>
    <w:rsid w:val="00EC5A03"/>
    <w:rsid w:val="00EC679C"/>
    <w:rsid w:val="00ED115C"/>
    <w:rsid w:val="00ED6DD4"/>
    <w:rsid w:val="00EE394B"/>
    <w:rsid w:val="00EE4BCA"/>
    <w:rsid w:val="00EE7002"/>
    <w:rsid w:val="00EF302B"/>
    <w:rsid w:val="00EF6FC9"/>
    <w:rsid w:val="00EF78D5"/>
    <w:rsid w:val="00F00263"/>
    <w:rsid w:val="00F02010"/>
    <w:rsid w:val="00F02435"/>
    <w:rsid w:val="00F0646C"/>
    <w:rsid w:val="00F06DBA"/>
    <w:rsid w:val="00F0768F"/>
    <w:rsid w:val="00F14581"/>
    <w:rsid w:val="00F15C98"/>
    <w:rsid w:val="00F1708F"/>
    <w:rsid w:val="00F17BEC"/>
    <w:rsid w:val="00F203C5"/>
    <w:rsid w:val="00F207AA"/>
    <w:rsid w:val="00F212B2"/>
    <w:rsid w:val="00F25E6F"/>
    <w:rsid w:val="00F26763"/>
    <w:rsid w:val="00F3126F"/>
    <w:rsid w:val="00F31EC6"/>
    <w:rsid w:val="00F33ECB"/>
    <w:rsid w:val="00F33F5B"/>
    <w:rsid w:val="00F33FFB"/>
    <w:rsid w:val="00F37BDD"/>
    <w:rsid w:val="00F4022E"/>
    <w:rsid w:val="00F40880"/>
    <w:rsid w:val="00F41B3F"/>
    <w:rsid w:val="00F44347"/>
    <w:rsid w:val="00F454D7"/>
    <w:rsid w:val="00F524AC"/>
    <w:rsid w:val="00F52F2D"/>
    <w:rsid w:val="00F56F43"/>
    <w:rsid w:val="00F601C3"/>
    <w:rsid w:val="00F62D42"/>
    <w:rsid w:val="00F67321"/>
    <w:rsid w:val="00F70CFC"/>
    <w:rsid w:val="00F72A00"/>
    <w:rsid w:val="00F739F8"/>
    <w:rsid w:val="00F7600A"/>
    <w:rsid w:val="00F7630B"/>
    <w:rsid w:val="00F76F1A"/>
    <w:rsid w:val="00F771C4"/>
    <w:rsid w:val="00F822B9"/>
    <w:rsid w:val="00F848C9"/>
    <w:rsid w:val="00F849EE"/>
    <w:rsid w:val="00F863BF"/>
    <w:rsid w:val="00F90C69"/>
    <w:rsid w:val="00F91B2E"/>
    <w:rsid w:val="00F91FE7"/>
    <w:rsid w:val="00F92806"/>
    <w:rsid w:val="00F94DD0"/>
    <w:rsid w:val="00F97BAF"/>
    <w:rsid w:val="00FA29E9"/>
    <w:rsid w:val="00FA76C3"/>
    <w:rsid w:val="00FB0807"/>
    <w:rsid w:val="00FB34FA"/>
    <w:rsid w:val="00FB4777"/>
    <w:rsid w:val="00FB7648"/>
    <w:rsid w:val="00FC1573"/>
    <w:rsid w:val="00FC1868"/>
    <w:rsid w:val="00FC1FE2"/>
    <w:rsid w:val="00FC3013"/>
    <w:rsid w:val="00FC3E0A"/>
    <w:rsid w:val="00FC7566"/>
    <w:rsid w:val="00FD303A"/>
    <w:rsid w:val="00FD3960"/>
    <w:rsid w:val="00FD4376"/>
    <w:rsid w:val="00FD5709"/>
    <w:rsid w:val="00FD742E"/>
    <w:rsid w:val="00FE0156"/>
    <w:rsid w:val="00FE16B4"/>
    <w:rsid w:val="00FE1B67"/>
    <w:rsid w:val="00FE4527"/>
    <w:rsid w:val="00FF52D1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FC348"/>
  <w15:docId w15:val="{BF999E15-735C-40AB-86CC-1EE7CF98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0880"/>
    <w:pPr>
      <w:spacing w:after="0" w:line="360" w:lineRule="auto"/>
      <w:ind w:firstLine="357"/>
      <w:jc w:val="both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E73205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bCs/>
      <w:caps/>
      <w:color w:val="009900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93C8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009900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8051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9900"/>
      <w:sz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900"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55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5EA22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9605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8F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75661"/>
    <w:pPr>
      <w:ind w:left="720"/>
      <w:contextualSpacing/>
    </w:pPr>
  </w:style>
  <w:style w:type="table" w:styleId="Reatabula">
    <w:name w:val="Table Grid"/>
    <w:basedOn w:val="Parastatabula"/>
    <w:rsid w:val="0064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atteksts">
    <w:name w:val="pamatteksts"/>
    <w:basedOn w:val="Parasts"/>
    <w:rsid w:val="00646165"/>
    <w:pPr>
      <w:spacing w:after="120" w:line="240" w:lineRule="auto"/>
    </w:pPr>
    <w:rPr>
      <w:rFonts w:ascii="RimTimes" w:eastAsia="Times New Roman" w:hAnsi="RimTimes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64616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46165"/>
  </w:style>
  <w:style w:type="paragraph" w:styleId="Vienkrsteksts">
    <w:name w:val="Plain Text"/>
    <w:basedOn w:val="Parasts"/>
    <w:link w:val="VienkrstekstsRakstz"/>
    <w:rsid w:val="0064616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rsid w:val="00646165"/>
    <w:rPr>
      <w:rFonts w:ascii="Courier New" w:eastAsia="Times New Roman" w:hAnsi="Courier New" w:cs="Courier New"/>
      <w:sz w:val="20"/>
      <w:szCs w:val="20"/>
    </w:rPr>
  </w:style>
  <w:style w:type="paragraph" w:styleId="Galvene">
    <w:name w:val="header"/>
    <w:basedOn w:val="Parasts"/>
    <w:link w:val="GalveneRakstz"/>
    <w:unhideWhenUsed/>
    <w:rsid w:val="00E03C48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3C48"/>
  </w:style>
  <w:style w:type="character" w:styleId="Hipersaite">
    <w:name w:val="Hyperlink"/>
    <w:basedOn w:val="Noklusjumarindkopasfonts"/>
    <w:uiPriority w:val="99"/>
    <w:unhideWhenUsed/>
    <w:rsid w:val="00A319E7"/>
    <w:rPr>
      <w:color w:val="EB8803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73205"/>
    <w:rPr>
      <w:rFonts w:eastAsiaTheme="majorEastAsia" w:cstheme="majorBidi"/>
      <w:b/>
      <w:bCs/>
      <w:caps/>
      <w:color w:val="009900"/>
      <w:sz w:val="28"/>
      <w:szCs w:val="28"/>
    </w:rPr>
  </w:style>
  <w:style w:type="character" w:styleId="Intensvsizclums">
    <w:name w:val="Intense Emphasis"/>
    <w:basedOn w:val="Noklusjumarindkopasfonts"/>
    <w:uiPriority w:val="21"/>
    <w:qFormat/>
    <w:rsid w:val="004573FF"/>
    <w:rPr>
      <w:b/>
      <w:bCs/>
      <w:i/>
      <w:iCs/>
      <w:color w:val="5EA226" w:themeColor="accent1" w:themeShade="BF"/>
    </w:rPr>
  </w:style>
  <w:style w:type="character" w:customStyle="1" w:styleId="apple-style-span">
    <w:name w:val="apple-style-span"/>
    <w:basedOn w:val="Noklusjumarindkopasfonts"/>
    <w:rsid w:val="00DE7DE8"/>
  </w:style>
  <w:style w:type="character" w:styleId="Izmantotahipersaite">
    <w:name w:val="FollowedHyperlink"/>
    <w:basedOn w:val="Noklusjumarindkopasfonts"/>
    <w:uiPriority w:val="99"/>
    <w:semiHidden/>
    <w:unhideWhenUsed/>
    <w:rsid w:val="00261A7E"/>
    <w:rPr>
      <w:color w:val="5F7791" w:themeColor="followedHyperlink"/>
      <w:u w:val="single"/>
    </w:rPr>
  </w:style>
  <w:style w:type="character" w:customStyle="1" w:styleId="apple-converted-space">
    <w:name w:val="apple-converted-space"/>
    <w:basedOn w:val="Noklusjumarindkopasfonts"/>
    <w:rsid w:val="00F02010"/>
  </w:style>
  <w:style w:type="character" w:customStyle="1" w:styleId="Virsraksts2Rakstz">
    <w:name w:val="Virsraksts 2 Rakstz."/>
    <w:basedOn w:val="Noklusjumarindkopasfonts"/>
    <w:link w:val="Virsraksts2"/>
    <w:uiPriority w:val="9"/>
    <w:rsid w:val="00593C8F"/>
    <w:rPr>
      <w:rFonts w:asciiTheme="majorHAnsi" w:eastAsiaTheme="majorEastAsia" w:hAnsiTheme="majorHAnsi" w:cstheme="majorBidi"/>
      <w:b/>
      <w:bCs/>
      <w:color w:val="009900"/>
      <w:sz w:val="26"/>
      <w:szCs w:val="2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5C2B"/>
    <w:pPr>
      <w:numPr>
        <w:ilvl w:val="1"/>
      </w:numPr>
      <w:spacing w:before="120"/>
      <w:ind w:firstLine="357"/>
    </w:pPr>
    <w:rPr>
      <w:rFonts w:asciiTheme="majorHAnsi" w:eastAsiaTheme="majorEastAsia" w:hAnsiTheme="majorHAnsi" w:cstheme="majorBidi"/>
      <w:i/>
      <w:iCs/>
      <w:color w:val="009900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5C2B"/>
    <w:rPr>
      <w:rFonts w:asciiTheme="majorHAnsi" w:eastAsiaTheme="majorEastAsia" w:hAnsiTheme="majorHAnsi" w:cstheme="majorBidi"/>
      <w:i/>
      <w:iCs/>
      <w:color w:val="009900"/>
      <w:spacing w:val="15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80518"/>
    <w:rPr>
      <w:rFonts w:asciiTheme="majorHAnsi" w:eastAsiaTheme="majorEastAsia" w:hAnsiTheme="majorHAnsi" w:cstheme="majorBidi"/>
      <w:b/>
      <w:bCs/>
      <w:color w:val="009900"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91551"/>
    <w:rPr>
      <w:rFonts w:asciiTheme="majorHAnsi" w:eastAsiaTheme="majorEastAsia" w:hAnsiTheme="majorHAnsi" w:cstheme="majorBidi"/>
      <w:b/>
      <w:bCs/>
      <w:i/>
      <w:iCs/>
      <w:color w:val="009900"/>
      <w:sz w:val="24"/>
    </w:rPr>
  </w:style>
  <w:style w:type="character" w:customStyle="1" w:styleId="sadalasteksts">
    <w:name w:val="sadalasteksts"/>
    <w:basedOn w:val="Noklusjumarindkopasfonts"/>
    <w:rsid w:val="005564C6"/>
  </w:style>
  <w:style w:type="paragraph" w:styleId="Paraststmeklis">
    <w:name w:val="Normal (Web)"/>
    <w:basedOn w:val="Parasts"/>
    <w:uiPriority w:val="99"/>
    <w:unhideWhenUsed/>
    <w:rsid w:val="005564C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elais">
    <w:name w:val="Lielais"/>
    <w:rsid w:val="00C40E26"/>
    <w:rPr>
      <w:rFonts w:cs="Times New Roman"/>
      <w:caps/>
    </w:rPr>
  </w:style>
  <w:style w:type="paragraph" w:customStyle="1" w:styleId="Pamatteksts1">
    <w:name w:val="Pamatteksts1"/>
    <w:rsid w:val="00E10522"/>
    <w:pPr>
      <w:spacing w:after="0" w:line="240" w:lineRule="auto"/>
      <w:ind w:firstLine="170"/>
      <w:jc w:val="both"/>
    </w:pPr>
    <w:rPr>
      <w:rFonts w:ascii="Baskerville TL" w:eastAsiaTheme="minorEastAsia" w:hAnsi="Baskerville TL"/>
    </w:rPr>
  </w:style>
  <w:style w:type="paragraph" w:customStyle="1" w:styleId="10tab">
    <w:name w:val="10 tab"/>
    <w:basedOn w:val="Parasts"/>
    <w:link w:val="10tabRakstz"/>
    <w:qFormat/>
    <w:rsid w:val="00111B82"/>
    <w:pPr>
      <w:spacing w:line="240" w:lineRule="auto"/>
      <w:ind w:firstLine="0"/>
    </w:pPr>
    <w:rPr>
      <w:rFonts w:eastAsiaTheme="minorEastAsia"/>
      <w:lang w:eastAsia="lv-LV"/>
    </w:rPr>
  </w:style>
  <w:style w:type="character" w:customStyle="1" w:styleId="10tabRakstz">
    <w:name w:val="10 tab Rakstz."/>
    <w:basedOn w:val="Noklusjumarindkopasfonts"/>
    <w:link w:val="10tab"/>
    <w:rsid w:val="00111B82"/>
    <w:rPr>
      <w:rFonts w:eastAsiaTheme="minorEastAsia"/>
      <w:lang w:eastAsia="lv-LV"/>
    </w:rPr>
  </w:style>
  <w:style w:type="paragraph" w:styleId="Bezatstarpm">
    <w:name w:val="No Spacing"/>
    <w:uiPriority w:val="1"/>
    <w:qFormat/>
    <w:rsid w:val="00E10522"/>
    <w:pPr>
      <w:spacing w:after="0" w:line="240" w:lineRule="auto"/>
      <w:ind w:firstLine="357"/>
      <w:jc w:val="both"/>
    </w:pPr>
  </w:style>
  <w:style w:type="character" w:styleId="Izteiksmgs">
    <w:name w:val="Strong"/>
    <w:basedOn w:val="Noklusjumarindkopasfonts"/>
    <w:uiPriority w:val="22"/>
    <w:qFormat/>
    <w:rsid w:val="00D827FA"/>
    <w:rPr>
      <w:rFonts w:asciiTheme="minorHAnsi" w:hAnsiTheme="minorHAnsi"/>
      <w:b/>
      <w:bCs/>
      <w:color w:val="009900"/>
      <w:sz w:val="22"/>
    </w:rPr>
  </w:style>
  <w:style w:type="character" w:styleId="Izclums">
    <w:name w:val="Emphasis"/>
    <w:uiPriority w:val="20"/>
    <w:qFormat/>
    <w:rsid w:val="002D08B5"/>
    <w:rPr>
      <w:b/>
      <w:bCs/>
      <w:i/>
      <w:iCs/>
      <w:color w:val="5A5A5A"/>
    </w:rPr>
  </w:style>
  <w:style w:type="character" w:customStyle="1" w:styleId="fbuttonbodycommand">
    <w:name w:val="f_buttonbodycommand"/>
    <w:basedOn w:val="Noklusjumarindkopasfonts"/>
    <w:rsid w:val="002960BA"/>
  </w:style>
  <w:style w:type="character" w:customStyle="1" w:styleId="Virsraksts5Rakstz">
    <w:name w:val="Virsraksts 5 Rakstz."/>
    <w:basedOn w:val="Noklusjumarindkopasfonts"/>
    <w:link w:val="Virsraksts5"/>
    <w:uiPriority w:val="9"/>
    <w:rsid w:val="00055C95"/>
    <w:rPr>
      <w:rFonts w:asciiTheme="majorHAnsi" w:eastAsiaTheme="majorEastAsia" w:hAnsiTheme="majorHAnsi" w:cstheme="majorBidi"/>
      <w:b/>
      <w:color w:val="5EA226" w:themeColor="accent1" w:themeShade="BF"/>
    </w:rPr>
  </w:style>
  <w:style w:type="character" w:customStyle="1" w:styleId="t-bold">
    <w:name w:val="t-bold"/>
    <w:basedOn w:val="Noklusjumarindkopasfonts"/>
    <w:rsid w:val="00F1708F"/>
  </w:style>
  <w:style w:type="character" w:customStyle="1" w:styleId="Virsraksts6Rakstz">
    <w:name w:val="Virsraksts 6 Rakstz."/>
    <w:basedOn w:val="Noklusjumarindkopasfonts"/>
    <w:link w:val="Virsraksts6"/>
    <w:uiPriority w:val="9"/>
    <w:rsid w:val="009605DA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Sarakstaaizzme">
    <w:name w:val="List Bullet"/>
    <w:basedOn w:val="Parasts"/>
    <w:autoRedefine/>
    <w:rsid w:val="00933FBD"/>
    <w:pPr>
      <w:spacing w:after="200" w:line="276" w:lineRule="auto"/>
      <w:ind w:firstLine="0"/>
    </w:pPr>
    <w:rPr>
      <w:rFonts w:eastAsiaTheme="minorEastAsia"/>
      <w:lang w:val="en-US" w:bidi="en-US"/>
    </w:rPr>
  </w:style>
  <w:style w:type="character" w:styleId="Izsmalcintsizclums">
    <w:name w:val="Subtle Emphasis"/>
    <w:basedOn w:val="Noklusjumarindkopasfonts"/>
    <w:uiPriority w:val="19"/>
    <w:qFormat/>
    <w:rsid w:val="008E52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20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6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76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1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870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065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65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8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1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822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512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94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53451-pievienotas-vertibas-nodokla-likum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dl.tilde.lv/TildesJumis/Help/5.5/Online/finansuatskaites_pvn_parskati.htm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l.tilde.lv/TildesJumis/Help/5.5/Online/bankas_dokumentu_apstrade.htm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l.tilde.lv/TildesJumis/Help/5.5/Online/banka_imports.htm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://likumi.lv/ta/id/202909-mopedu-mehanisko-transportlidzeklu-to-piekabju-un-sastavdalu-atbilstibas-novertesanas-noteikumi" TargetMode="External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253451-pievienotas-vertibas-nodokla-likum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://dl.tilde.lv/TildesJumis/Help/5.5/Online/bilance_uz_eds.htm" TargetMode="External"/></Relationships>
</file>

<file path=word/theme/theme1.xml><?xml version="1.0" encoding="utf-8"?>
<a:theme xmlns:a="http://schemas.openxmlformats.org/drawingml/2006/main" name="Office dizains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9EC2-C247-47FD-9796-01353C9E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7</Pages>
  <Words>4848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Anda Ziemele</dc:creator>
  <cp:lastModifiedBy>Anda Ziemele</cp:lastModifiedBy>
  <cp:revision>218</cp:revision>
  <cp:lastPrinted>2011-06-29T07:58:00Z</cp:lastPrinted>
  <dcterms:created xsi:type="dcterms:W3CDTF">2012-11-23T07:36:00Z</dcterms:created>
  <dcterms:modified xsi:type="dcterms:W3CDTF">2017-01-13T14:57:00Z</dcterms:modified>
</cp:coreProperties>
</file>